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407AC">
      <w:pPr>
        <w:pStyle w:val="20"/>
        <w:jc w:val="center"/>
        <w:rPr>
          <w:rFonts w:hint="default"/>
          <w:b/>
          <w:sz w:val="44"/>
          <w:highlight w:val="none"/>
        </w:rPr>
      </w:pPr>
    </w:p>
    <w:p w14:paraId="77370734">
      <w:pPr>
        <w:pStyle w:val="20"/>
        <w:jc w:val="center"/>
        <w:rPr>
          <w:rFonts w:hint="default"/>
          <w:b/>
          <w:sz w:val="40"/>
          <w:szCs w:val="21"/>
          <w:highlight w:val="none"/>
        </w:rPr>
      </w:pPr>
    </w:p>
    <w:p w14:paraId="151C5F2A">
      <w:pPr>
        <w:pStyle w:val="20"/>
        <w:jc w:val="center"/>
        <w:rPr>
          <w:rFonts w:hint="default" w:cstheme="minorBidi"/>
          <w:color w:val="FF0000"/>
          <w:kern w:val="2"/>
          <w:sz w:val="32"/>
          <w:szCs w:val="21"/>
          <w:highlight w:val="none"/>
        </w:rPr>
      </w:pPr>
      <w:r>
        <w:rPr>
          <w:rFonts w:hint="eastAsia"/>
          <w:b/>
          <w:sz w:val="36"/>
          <w:highlight w:val="none"/>
          <w:lang w:eastAsia="zh-CN"/>
        </w:rPr>
        <w:t>江苏盐昇光电新材料有限公司1.596MW/3.457MWh用户侧储能电站项目</w:t>
      </w:r>
      <w:r>
        <w:rPr>
          <w:b/>
          <w:sz w:val="36"/>
          <w:highlight w:val="none"/>
        </w:rPr>
        <w:t>--全过程监理服务</w:t>
      </w:r>
    </w:p>
    <w:p w14:paraId="7C7B78BD">
      <w:pPr>
        <w:pStyle w:val="20"/>
        <w:rPr>
          <w:rFonts w:hint="default" w:cstheme="minorBidi"/>
          <w:color w:val="FF0000"/>
          <w:kern w:val="2"/>
          <w:szCs w:val="21"/>
          <w:highlight w:val="none"/>
        </w:rPr>
      </w:pPr>
    </w:p>
    <w:p w14:paraId="27D3EA7D">
      <w:pPr>
        <w:pStyle w:val="20"/>
        <w:rPr>
          <w:rFonts w:hint="default" w:cstheme="minorBidi"/>
          <w:color w:val="FF0000"/>
          <w:kern w:val="2"/>
          <w:szCs w:val="21"/>
          <w:highlight w:val="none"/>
        </w:rPr>
      </w:pPr>
    </w:p>
    <w:p w14:paraId="07D792C2">
      <w:pPr>
        <w:pStyle w:val="20"/>
        <w:rPr>
          <w:rFonts w:hint="default" w:cstheme="minorBidi"/>
          <w:color w:val="FF0000"/>
          <w:kern w:val="2"/>
          <w:szCs w:val="21"/>
          <w:highlight w:val="none"/>
        </w:rPr>
      </w:pPr>
    </w:p>
    <w:p w14:paraId="7425CBAE">
      <w:pPr>
        <w:pStyle w:val="20"/>
        <w:rPr>
          <w:rFonts w:hint="default" w:cstheme="minorBidi"/>
          <w:color w:val="FF0000"/>
          <w:kern w:val="2"/>
          <w:szCs w:val="21"/>
          <w:highlight w:val="none"/>
        </w:rPr>
      </w:pPr>
    </w:p>
    <w:p w14:paraId="6903BCAF">
      <w:pPr>
        <w:pStyle w:val="20"/>
        <w:rPr>
          <w:rFonts w:hint="default" w:cstheme="minorBidi"/>
          <w:color w:val="FF0000"/>
          <w:kern w:val="2"/>
          <w:szCs w:val="21"/>
          <w:highlight w:val="none"/>
        </w:rPr>
      </w:pPr>
    </w:p>
    <w:p w14:paraId="4F6A63C2">
      <w:pPr>
        <w:pStyle w:val="20"/>
        <w:rPr>
          <w:rFonts w:hint="default" w:cstheme="minorBidi"/>
          <w:color w:val="FF0000"/>
          <w:kern w:val="2"/>
          <w:szCs w:val="21"/>
          <w:highlight w:val="none"/>
        </w:rPr>
      </w:pPr>
    </w:p>
    <w:p w14:paraId="3F81EFAE">
      <w:pPr>
        <w:pStyle w:val="20"/>
        <w:jc w:val="center"/>
        <w:rPr>
          <w:rFonts w:hint="default" w:cstheme="minorBidi"/>
          <w:color w:val="000000" w:themeColor="text1"/>
          <w:kern w:val="2"/>
          <w:sz w:val="56"/>
          <w:szCs w:val="21"/>
          <w:highlight w:val="none"/>
          <w14:textFill>
            <w14:solidFill>
              <w14:schemeClr w14:val="tx1"/>
            </w14:solidFill>
          </w14:textFill>
        </w:rPr>
      </w:pPr>
      <w:r>
        <w:rPr>
          <w:rFonts w:cstheme="minorBidi"/>
          <w:color w:val="000000" w:themeColor="text1"/>
          <w:kern w:val="2"/>
          <w:sz w:val="56"/>
          <w:szCs w:val="21"/>
          <w:highlight w:val="none"/>
          <w14:textFill>
            <w14:solidFill>
              <w14:schemeClr w14:val="tx1"/>
            </w14:solidFill>
          </w14:textFill>
        </w:rPr>
        <w:t>投标报价文件</w:t>
      </w:r>
    </w:p>
    <w:p w14:paraId="76D4B6C1">
      <w:pPr>
        <w:pStyle w:val="20"/>
        <w:jc w:val="center"/>
        <w:rPr>
          <w:rFonts w:hint="default" w:cstheme="minorBidi"/>
          <w:color w:val="000000" w:themeColor="text1"/>
          <w:kern w:val="2"/>
          <w:sz w:val="56"/>
          <w:szCs w:val="21"/>
          <w:highlight w:val="none"/>
          <w14:textFill>
            <w14:solidFill>
              <w14:schemeClr w14:val="tx1"/>
            </w14:solidFill>
          </w14:textFill>
        </w:rPr>
      </w:pPr>
    </w:p>
    <w:p w14:paraId="5974146E">
      <w:pPr>
        <w:pStyle w:val="20"/>
        <w:jc w:val="center"/>
        <w:rPr>
          <w:rFonts w:hint="default" w:cstheme="minorBidi"/>
          <w:color w:val="000000" w:themeColor="text1"/>
          <w:kern w:val="2"/>
          <w:sz w:val="56"/>
          <w:szCs w:val="21"/>
          <w:highlight w:val="none"/>
          <w14:textFill>
            <w14:solidFill>
              <w14:schemeClr w14:val="tx1"/>
            </w14:solidFill>
          </w14:textFill>
        </w:rPr>
      </w:pPr>
    </w:p>
    <w:p w14:paraId="5540A5CA">
      <w:pPr>
        <w:pStyle w:val="20"/>
        <w:jc w:val="center"/>
        <w:rPr>
          <w:rFonts w:hint="default" w:cstheme="minorBidi"/>
          <w:color w:val="000000" w:themeColor="text1"/>
          <w:kern w:val="2"/>
          <w:sz w:val="56"/>
          <w:szCs w:val="21"/>
          <w:highlight w:val="none"/>
          <w14:textFill>
            <w14:solidFill>
              <w14:schemeClr w14:val="tx1"/>
            </w14:solidFill>
          </w14:textFill>
        </w:rPr>
      </w:pPr>
    </w:p>
    <w:p w14:paraId="2C250A74">
      <w:pPr>
        <w:pStyle w:val="20"/>
        <w:ind w:firstLine="1440" w:firstLineChars="400"/>
        <w:rPr>
          <w:rFonts w:hint="default" w:cstheme="minorBidi"/>
          <w:color w:val="000000" w:themeColor="text1"/>
          <w:kern w:val="2"/>
          <w:sz w:val="36"/>
          <w:szCs w:val="21"/>
          <w:highlight w:val="none"/>
          <w:u w:val="single"/>
          <w14:textFill>
            <w14:solidFill>
              <w14:schemeClr w14:val="tx1"/>
            </w14:solidFill>
          </w14:textFill>
        </w:rPr>
      </w:pPr>
      <w:r>
        <w:rPr>
          <w:rFonts w:cstheme="minorBidi"/>
          <w:color w:val="000000" w:themeColor="text1"/>
          <w:kern w:val="2"/>
          <w:sz w:val="36"/>
          <w:szCs w:val="21"/>
          <w:highlight w:val="none"/>
          <w14:textFill>
            <w14:solidFill>
              <w14:schemeClr w14:val="tx1"/>
            </w14:solidFill>
          </w14:textFill>
        </w:rPr>
        <w:t>投标单位（盖章）：</w:t>
      </w:r>
      <w:r>
        <w:rPr>
          <w:rFonts w:cstheme="minorBidi"/>
          <w:color w:val="000000" w:themeColor="text1"/>
          <w:kern w:val="2"/>
          <w:sz w:val="36"/>
          <w:szCs w:val="21"/>
          <w:highlight w:val="none"/>
          <w:u w:val="single"/>
          <w14:textFill>
            <w14:solidFill>
              <w14:schemeClr w14:val="tx1"/>
            </w14:solidFill>
          </w14:textFill>
        </w:rPr>
        <w:t xml:space="preserve"> </w:t>
      </w:r>
      <w:r>
        <w:rPr>
          <w:rFonts w:hint="default" w:cstheme="minorBidi"/>
          <w:color w:val="000000" w:themeColor="text1"/>
          <w:kern w:val="2"/>
          <w:sz w:val="36"/>
          <w:szCs w:val="21"/>
          <w:highlight w:val="none"/>
          <w:u w:val="single"/>
          <w14:textFill>
            <w14:solidFill>
              <w14:schemeClr w14:val="tx1"/>
            </w14:solidFill>
          </w14:textFill>
        </w:rPr>
        <w:t xml:space="preserve">            </w:t>
      </w:r>
    </w:p>
    <w:p w14:paraId="240ED657">
      <w:pPr>
        <w:pStyle w:val="20"/>
        <w:ind w:firstLine="1440" w:firstLineChars="400"/>
        <w:rPr>
          <w:rFonts w:hint="default" w:cstheme="minorBidi"/>
          <w:color w:val="000000" w:themeColor="text1"/>
          <w:kern w:val="2"/>
          <w:sz w:val="36"/>
          <w:szCs w:val="21"/>
          <w:highlight w:val="none"/>
          <w:u w:val="single"/>
          <w14:textFill>
            <w14:solidFill>
              <w14:schemeClr w14:val="tx1"/>
            </w14:solidFill>
          </w14:textFill>
        </w:rPr>
      </w:pPr>
      <w:r>
        <w:rPr>
          <w:rFonts w:cstheme="minorBidi"/>
          <w:color w:val="000000" w:themeColor="text1"/>
          <w:kern w:val="2"/>
          <w:sz w:val="36"/>
          <w:szCs w:val="21"/>
          <w:highlight w:val="none"/>
          <w14:textFill>
            <w14:solidFill>
              <w14:schemeClr w14:val="tx1"/>
            </w14:solidFill>
          </w14:textFill>
        </w:rPr>
        <w:t>日期：</w:t>
      </w:r>
      <w:r>
        <w:rPr>
          <w:rFonts w:cstheme="minorBidi"/>
          <w:color w:val="000000" w:themeColor="text1"/>
          <w:kern w:val="2"/>
          <w:sz w:val="36"/>
          <w:szCs w:val="21"/>
          <w:highlight w:val="none"/>
          <w:u w:val="single"/>
          <w14:textFill>
            <w14:solidFill>
              <w14:schemeClr w14:val="tx1"/>
            </w14:solidFill>
          </w14:textFill>
        </w:rPr>
        <w:t xml:space="preserve"> </w:t>
      </w:r>
      <w:r>
        <w:rPr>
          <w:rFonts w:hint="default" w:cstheme="minorBidi"/>
          <w:color w:val="000000" w:themeColor="text1"/>
          <w:kern w:val="2"/>
          <w:sz w:val="36"/>
          <w:szCs w:val="21"/>
          <w:highlight w:val="none"/>
          <w:u w:val="single"/>
          <w14:textFill>
            <w14:solidFill>
              <w14:schemeClr w14:val="tx1"/>
            </w14:solidFill>
          </w14:textFill>
        </w:rPr>
        <w:t xml:space="preserve">                        </w:t>
      </w:r>
    </w:p>
    <w:p w14:paraId="6841850B">
      <w:pPr>
        <w:pStyle w:val="20"/>
        <w:rPr>
          <w:rFonts w:hint="default" w:cstheme="minorBidi"/>
          <w:color w:val="FF0000"/>
          <w:kern w:val="2"/>
          <w:szCs w:val="21"/>
          <w:highlight w:val="none"/>
        </w:rPr>
      </w:pPr>
    </w:p>
    <w:p w14:paraId="3499F51A">
      <w:pPr>
        <w:widowControl/>
        <w:jc w:val="left"/>
        <w:rPr>
          <w:rFonts w:ascii="宋体" w:hAnsi="宋体" w:eastAsia="宋体"/>
          <w:color w:val="FF0000"/>
          <w:sz w:val="28"/>
          <w:highlight w:val="none"/>
        </w:rPr>
      </w:pPr>
      <w:r>
        <w:rPr>
          <w:rFonts w:ascii="宋体" w:hAnsi="宋体" w:eastAsia="宋体"/>
          <w:color w:val="FF0000"/>
          <w:sz w:val="28"/>
          <w:highlight w:val="none"/>
        </w:rPr>
        <w:br w:type="page"/>
      </w:r>
    </w:p>
    <w:p w14:paraId="115CB4D3">
      <w:pPr>
        <w:widowControl/>
        <w:spacing w:after="312" w:afterLines="100"/>
        <w:jc w:val="left"/>
        <w:rPr>
          <w:rFonts w:ascii="宋体" w:hAnsi="宋体" w:eastAsia="宋体"/>
          <w:b/>
          <w:highlight w:val="none"/>
        </w:rPr>
      </w:pPr>
      <w:r>
        <w:rPr>
          <w:rFonts w:hint="eastAsia" w:ascii="宋体" w:hAnsi="宋体" w:eastAsia="宋体"/>
          <w:b/>
          <w:highlight w:val="none"/>
        </w:rPr>
        <w:t>附件1：</w:t>
      </w:r>
    </w:p>
    <w:p w14:paraId="2C91B5FB">
      <w:pPr>
        <w:pStyle w:val="28"/>
        <w:widowControl/>
        <w:spacing w:line="410" w:lineRule="atLeast"/>
        <w:jc w:val="center"/>
        <w:rPr>
          <w:rFonts w:ascii="宋体" w:hAnsi="宋体" w:cs="宋体"/>
          <w:b/>
          <w:bCs/>
          <w:kern w:val="0"/>
          <w:sz w:val="44"/>
          <w:szCs w:val="44"/>
          <w:highlight w:val="none"/>
        </w:rPr>
      </w:pPr>
      <w:r>
        <w:rPr>
          <w:rFonts w:ascii="宋体" w:hAnsi="宋体" w:cs="宋体"/>
          <w:b/>
          <w:bCs/>
          <w:kern w:val="0"/>
          <w:sz w:val="44"/>
          <w:szCs w:val="44"/>
          <w:highlight w:val="none"/>
        </w:rPr>
        <w:t>投 标 承 诺 书</w:t>
      </w:r>
    </w:p>
    <w:p w14:paraId="6CFF21EB">
      <w:pPr>
        <w:pStyle w:val="28"/>
        <w:widowControl/>
        <w:spacing w:line="410" w:lineRule="atLeast"/>
        <w:jc w:val="center"/>
        <w:rPr>
          <w:rFonts w:ascii="宋体" w:hAnsi="宋体" w:cs="宋体"/>
          <w:b/>
          <w:bCs/>
          <w:kern w:val="0"/>
          <w:sz w:val="24"/>
          <w:szCs w:val="44"/>
          <w:highlight w:val="none"/>
        </w:rPr>
      </w:pPr>
    </w:p>
    <w:p w14:paraId="12C51601">
      <w:pPr>
        <w:pStyle w:val="28"/>
        <w:widowControl/>
        <w:spacing w:line="360" w:lineRule="auto"/>
        <w:jc w:val="left"/>
        <w:rPr>
          <w:rFonts w:ascii="宋体" w:hAnsi="宋体" w:cs="宋体"/>
          <w:kern w:val="0"/>
          <w:sz w:val="24"/>
          <w:highlight w:val="none"/>
        </w:rPr>
      </w:pPr>
      <w:r>
        <w:rPr>
          <w:rFonts w:hint="eastAsia" w:ascii="宋体" w:hAnsi="宋体"/>
          <w:sz w:val="24"/>
          <w:szCs w:val="21"/>
          <w:highlight w:val="none"/>
          <w:u w:val="single"/>
        </w:rPr>
        <w:t>江苏盐城市清洁能源发展股份有限公司</w:t>
      </w:r>
      <w:r>
        <w:rPr>
          <w:rFonts w:ascii="宋体" w:hAnsi="宋体" w:cs="宋体"/>
          <w:kern w:val="0"/>
          <w:sz w:val="24"/>
          <w:highlight w:val="none"/>
          <w:u w:val="single"/>
        </w:rPr>
        <w:t xml:space="preserve"> </w:t>
      </w:r>
      <w:r>
        <w:rPr>
          <w:rFonts w:ascii="宋体" w:hAnsi="宋体" w:cs="宋体"/>
          <w:kern w:val="0"/>
          <w:sz w:val="24"/>
          <w:highlight w:val="none"/>
        </w:rPr>
        <w:t>：</w:t>
      </w:r>
      <w:r>
        <w:rPr>
          <w:rFonts w:ascii="宋体" w:hAnsi="宋体" w:cs="宋体"/>
          <w:kern w:val="0"/>
          <w:sz w:val="24"/>
          <w:highlight w:val="none"/>
        </w:rPr>
        <w:tab/>
      </w:r>
      <w:r>
        <w:rPr>
          <w:rFonts w:ascii="宋体" w:hAnsi="宋体" w:cs="宋体"/>
          <w:kern w:val="0"/>
          <w:sz w:val="24"/>
          <w:highlight w:val="none"/>
        </w:rPr>
        <w:tab/>
      </w:r>
      <w:r>
        <w:rPr>
          <w:rFonts w:ascii="宋体" w:hAnsi="宋体" w:cs="宋体"/>
          <w:kern w:val="0"/>
          <w:sz w:val="24"/>
          <w:highlight w:val="none"/>
        </w:rPr>
        <w:tab/>
      </w:r>
    </w:p>
    <w:p w14:paraId="2DE9F1EA">
      <w:pPr>
        <w:pStyle w:val="28"/>
        <w:widowControl/>
        <w:numPr>
          <w:ilvl w:val="0"/>
          <w:numId w:val="1"/>
        </w:numPr>
        <w:spacing w:line="360" w:lineRule="auto"/>
        <w:rPr>
          <w:rFonts w:cs="宋体"/>
          <w:highlight w:val="none"/>
        </w:rPr>
      </w:pPr>
      <w:r>
        <w:rPr>
          <w:rFonts w:ascii="宋体" w:hAnsi="宋体" w:cs="宋体"/>
          <w:kern w:val="0"/>
          <w:sz w:val="24"/>
          <w:highlight w:val="none"/>
        </w:rPr>
        <w:t>根据已收到的</w:t>
      </w:r>
      <w:r>
        <w:rPr>
          <w:rFonts w:ascii="宋体" w:hAnsi="宋体" w:cs="宋体"/>
          <w:kern w:val="0"/>
          <w:sz w:val="24"/>
          <w:highlight w:val="none"/>
          <w:u w:val="single"/>
        </w:rPr>
        <w:t xml:space="preserve"> </w:t>
      </w:r>
      <w:r>
        <w:rPr>
          <w:rFonts w:hint="eastAsia" w:ascii="宋体" w:hAnsi="宋体"/>
          <w:sz w:val="24"/>
          <w:szCs w:val="21"/>
          <w:highlight w:val="none"/>
          <w:u w:val="single"/>
          <w:lang w:eastAsia="zh-CN"/>
        </w:rPr>
        <w:t>江苏盐昇光电新材料有限公司1.596MW/3.457MWh用户侧储能电站项目</w:t>
      </w:r>
      <w:r>
        <w:rPr>
          <w:rFonts w:hint="eastAsia" w:ascii="宋体" w:hAnsi="宋体"/>
          <w:sz w:val="24"/>
          <w:szCs w:val="21"/>
          <w:highlight w:val="none"/>
          <w:u w:val="single"/>
        </w:rPr>
        <w:t>--全过程监理服务</w:t>
      </w:r>
      <w:r>
        <w:rPr>
          <w:rFonts w:ascii="宋体" w:hAnsi="宋体" w:cs="宋体"/>
          <w:kern w:val="0"/>
          <w:sz w:val="24"/>
          <w:highlight w:val="none"/>
          <w:u w:val="single"/>
        </w:rPr>
        <w:t xml:space="preserve"> </w:t>
      </w:r>
      <w:r>
        <w:rPr>
          <w:rFonts w:hint="eastAsia" w:ascii="宋体" w:hAnsi="宋体" w:cs="宋体"/>
          <w:kern w:val="0"/>
          <w:sz w:val="24"/>
          <w:highlight w:val="none"/>
        </w:rPr>
        <w:t>询价</w:t>
      </w:r>
      <w:r>
        <w:rPr>
          <w:rFonts w:ascii="宋体" w:hAnsi="宋体" w:cs="宋体"/>
          <w:kern w:val="0"/>
          <w:sz w:val="24"/>
          <w:highlight w:val="none"/>
        </w:rPr>
        <w:t>文件，我单位经考察现场和研究贵方的招标文件后，决定无保留地接受招标文件所有条款，愿按</w:t>
      </w:r>
      <w:r>
        <w:rPr>
          <w:rFonts w:hint="eastAsia" w:ascii="宋体" w:hAnsi="宋体" w:cs="宋体"/>
          <w:kern w:val="0"/>
          <w:sz w:val="24"/>
          <w:highlight w:val="none"/>
        </w:rPr>
        <w:t>人民币</w:t>
      </w:r>
      <w:r>
        <w:rPr>
          <w:rFonts w:ascii="宋体" w:hAnsi="宋体" w:cs="宋体"/>
          <w:kern w:val="0"/>
          <w:sz w:val="24"/>
          <w:highlight w:val="none"/>
          <w:u w:val="single"/>
        </w:rPr>
        <w:t xml:space="preserve"> </w:t>
      </w:r>
      <w:r>
        <w:rPr>
          <w:rFonts w:hint="eastAsia" w:ascii="宋体" w:hAnsi="宋体" w:cs="宋体"/>
          <w:kern w:val="0"/>
          <w:sz w:val="24"/>
          <w:highlight w:val="none"/>
          <w:u w:val="single"/>
        </w:rPr>
        <w:t xml:space="preserve">           元</w:t>
      </w:r>
      <w:r>
        <w:rPr>
          <w:rFonts w:ascii="宋体" w:hAnsi="宋体" w:cs="宋体"/>
          <w:kern w:val="0"/>
          <w:sz w:val="24"/>
          <w:highlight w:val="none"/>
          <w:u w:val="single"/>
        </w:rPr>
        <w:t xml:space="preserve"> </w:t>
      </w:r>
      <w:r>
        <w:rPr>
          <w:rFonts w:ascii="宋体" w:hAnsi="宋体" w:cs="宋体"/>
          <w:kern w:val="0"/>
          <w:sz w:val="24"/>
          <w:highlight w:val="none"/>
        </w:rPr>
        <w:t>承担本工程招标范围内的</w:t>
      </w:r>
      <w:r>
        <w:rPr>
          <w:rFonts w:hint="eastAsia" w:ascii="宋体" w:hAnsi="宋体" w:cs="宋体"/>
          <w:kern w:val="0"/>
          <w:sz w:val="24"/>
          <w:highlight w:val="none"/>
        </w:rPr>
        <w:t>全部</w:t>
      </w:r>
      <w:r>
        <w:rPr>
          <w:rFonts w:ascii="宋体" w:hAnsi="宋体" w:cs="宋体"/>
          <w:kern w:val="0"/>
          <w:sz w:val="24"/>
          <w:highlight w:val="none"/>
        </w:rPr>
        <w:t>服务。</w:t>
      </w:r>
    </w:p>
    <w:tbl>
      <w:tblPr>
        <w:tblStyle w:val="14"/>
        <w:tblW w:w="9899" w:type="dxa"/>
        <w:jc w:val="center"/>
        <w:tblLayout w:type="fixed"/>
        <w:tblCellMar>
          <w:top w:w="0" w:type="dxa"/>
          <w:left w:w="108" w:type="dxa"/>
          <w:bottom w:w="0" w:type="dxa"/>
          <w:right w:w="108" w:type="dxa"/>
        </w:tblCellMar>
      </w:tblPr>
      <w:tblGrid>
        <w:gridCol w:w="657"/>
        <w:gridCol w:w="5176"/>
        <w:gridCol w:w="1652"/>
        <w:gridCol w:w="2414"/>
      </w:tblGrid>
      <w:tr w14:paraId="52F216C9">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02F277C7">
            <w:pPr>
              <w:pStyle w:val="30"/>
              <w:jc w:val="center"/>
              <w:rPr>
                <w:highlight w:val="none"/>
              </w:rPr>
            </w:pPr>
            <w:r>
              <w:rPr>
                <w:highlight w:val="none"/>
              </w:rPr>
              <w:t>序号</w:t>
            </w:r>
          </w:p>
        </w:tc>
        <w:tc>
          <w:tcPr>
            <w:tcW w:w="5175" w:type="dxa"/>
            <w:tcBorders>
              <w:top w:val="single" w:color="000000" w:sz="4" w:space="0"/>
              <w:left w:val="single" w:color="000000" w:sz="4" w:space="0"/>
              <w:bottom w:val="single" w:color="000000" w:sz="4" w:space="0"/>
              <w:right w:val="single" w:color="000000" w:sz="4" w:space="0"/>
            </w:tcBorders>
            <w:vAlign w:val="center"/>
          </w:tcPr>
          <w:p w14:paraId="2AE9B1A3">
            <w:pPr>
              <w:pStyle w:val="30"/>
              <w:jc w:val="center"/>
              <w:rPr>
                <w:highlight w:val="none"/>
              </w:rPr>
            </w:pPr>
            <w:r>
              <w:rPr>
                <w:rFonts w:hint="eastAsia"/>
                <w:highlight w:val="none"/>
              </w:rPr>
              <w:t>服务内容</w:t>
            </w:r>
          </w:p>
        </w:tc>
        <w:tc>
          <w:tcPr>
            <w:tcW w:w="1652" w:type="dxa"/>
            <w:tcBorders>
              <w:top w:val="single" w:color="000000" w:sz="4" w:space="0"/>
              <w:left w:val="single" w:color="000000" w:sz="4" w:space="0"/>
              <w:bottom w:val="single" w:color="000000" w:sz="4" w:space="0"/>
              <w:right w:val="single" w:color="000000" w:sz="4" w:space="0"/>
            </w:tcBorders>
            <w:vAlign w:val="center"/>
          </w:tcPr>
          <w:p w14:paraId="6250715D">
            <w:pPr>
              <w:pStyle w:val="30"/>
              <w:jc w:val="center"/>
              <w:rPr>
                <w:highlight w:val="none"/>
              </w:rPr>
            </w:pPr>
            <w:r>
              <w:rPr>
                <w:rFonts w:hint="eastAsia"/>
                <w:highlight w:val="none"/>
              </w:rPr>
              <w:t>投标报价（元）</w:t>
            </w:r>
          </w:p>
        </w:tc>
        <w:tc>
          <w:tcPr>
            <w:tcW w:w="2414" w:type="dxa"/>
            <w:tcBorders>
              <w:top w:val="single" w:color="000000" w:sz="4" w:space="0"/>
              <w:left w:val="single" w:color="000000" w:sz="4" w:space="0"/>
              <w:bottom w:val="single" w:color="000000" w:sz="4" w:space="0"/>
              <w:right w:val="single" w:color="000000" w:sz="4" w:space="0"/>
            </w:tcBorders>
            <w:vAlign w:val="center"/>
          </w:tcPr>
          <w:p w14:paraId="4319E1A4">
            <w:pPr>
              <w:pStyle w:val="30"/>
              <w:jc w:val="center"/>
              <w:rPr>
                <w:highlight w:val="none"/>
              </w:rPr>
            </w:pPr>
            <w:r>
              <w:rPr>
                <w:highlight w:val="none"/>
              </w:rPr>
              <w:t>备注</w:t>
            </w:r>
          </w:p>
        </w:tc>
      </w:tr>
      <w:tr w14:paraId="5E4A743A">
        <w:tblPrEx>
          <w:tblCellMar>
            <w:top w:w="0" w:type="dxa"/>
            <w:left w:w="108" w:type="dxa"/>
            <w:bottom w:w="0" w:type="dxa"/>
            <w:right w:w="108" w:type="dxa"/>
          </w:tblCellMar>
        </w:tblPrEx>
        <w:trPr>
          <w:trHeight w:val="123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2C60FE6E">
            <w:pPr>
              <w:pStyle w:val="30"/>
              <w:jc w:val="center"/>
              <w:rPr>
                <w:highlight w:val="none"/>
              </w:rPr>
            </w:pPr>
            <w:r>
              <w:rPr>
                <w:highlight w:val="none"/>
              </w:rPr>
              <w:t>1</w:t>
            </w:r>
          </w:p>
        </w:tc>
        <w:tc>
          <w:tcPr>
            <w:tcW w:w="5175" w:type="dxa"/>
            <w:tcBorders>
              <w:top w:val="single" w:color="000000" w:sz="4" w:space="0"/>
              <w:left w:val="single" w:color="000000" w:sz="4" w:space="0"/>
              <w:bottom w:val="single" w:color="000000" w:sz="4" w:space="0"/>
              <w:right w:val="single" w:color="000000" w:sz="4" w:space="0"/>
            </w:tcBorders>
            <w:vAlign w:val="center"/>
          </w:tcPr>
          <w:p w14:paraId="200D7A89">
            <w:pPr>
              <w:pStyle w:val="30"/>
              <w:jc w:val="center"/>
              <w:rPr>
                <w:highlight w:val="none"/>
              </w:rPr>
            </w:pPr>
            <w:r>
              <w:rPr>
                <w:rFonts w:hint="eastAsia" w:ascii="宋体" w:hAnsi="宋体"/>
                <w:sz w:val="24"/>
                <w:szCs w:val="21"/>
                <w:highlight w:val="none"/>
              </w:rPr>
              <w:t>全过程监理服务</w:t>
            </w:r>
          </w:p>
        </w:tc>
        <w:tc>
          <w:tcPr>
            <w:tcW w:w="1652" w:type="dxa"/>
            <w:tcBorders>
              <w:top w:val="single" w:color="000000" w:sz="4" w:space="0"/>
              <w:left w:val="single" w:color="000000" w:sz="4" w:space="0"/>
              <w:bottom w:val="single" w:color="000000" w:sz="4" w:space="0"/>
              <w:right w:val="single" w:color="000000" w:sz="4" w:space="0"/>
            </w:tcBorders>
            <w:vAlign w:val="center"/>
          </w:tcPr>
          <w:p w14:paraId="40229291">
            <w:pPr>
              <w:pStyle w:val="28"/>
              <w:snapToGrid w:val="0"/>
              <w:spacing w:line="360" w:lineRule="auto"/>
              <w:jc w:val="center"/>
              <w:rPr>
                <w:rFonts w:ascii="宋体" w:hAnsi="宋体" w:cs="宋体"/>
                <w:kern w:val="0"/>
                <w:sz w:val="24"/>
                <w:highlight w:val="none"/>
              </w:rPr>
            </w:pPr>
          </w:p>
        </w:tc>
        <w:tc>
          <w:tcPr>
            <w:tcW w:w="2414" w:type="dxa"/>
            <w:tcBorders>
              <w:top w:val="single" w:color="000000" w:sz="4" w:space="0"/>
              <w:left w:val="single" w:color="000000" w:sz="4" w:space="0"/>
              <w:bottom w:val="single" w:color="000000" w:sz="4" w:space="0"/>
              <w:right w:val="single" w:color="000000" w:sz="4" w:space="0"/>
            </w:tcBorders>
            <w:vAlign w:val="center"/>
          </w:tcPr>
          <w:p w14:paraId="095D9261">
            <w:pPr>
              <w:pStyle w:val="30"/>
              <w:rPr>
                <w:highlight w:val="none"/>
              </w:rPr>
            </w:pPr>
            <w:r>
              <w:rPr>
                <w:highlight w:val="none"/>
              </w:rPr>
              <w:t>发票类型：</w:t>
            </w:r>
          </w:p>
          <w:p w14:paraId="65C55493">
            <w:pPr>
              <w:pStyle w:val="30"/>
              <w:jc w:val="left"/>
              <w:rPr>
                <w:highlight w:val="none"/>
                <w:u w:val="single"/>
              </w:rPr>
            </w:pPr>
            <w:r>
              <w:rPr>
                <w:rFonts w:ascii="Wingdings 2;Wingdings" w:hAnsi="Wingdings 2;Wingdings" w:eastAsia="Wingdings 2;Wingdings" w:cs="Wingdings 2;Wingdings"/>
                <w:highlight w:val="none"/>
              </w:rPr>
              <w:sym w:font="Wingdings 2" w:char="0052"/>
            </w:r>
            <w:r>
              <w:rPr>
                <w:highlight w:val="none"/>
              </w:rPr>
              <w:t>专票，税率</w:t>
            </w:r>
            <w:r>
              <w:rPr>
                <w:rFonts w:eastAsia="Times New Roman"/>
                <w:highlight w:val="none"/>
                <w:u w:val="single"/>
              </w:rPr>
              <w:t xml:space="preserve"> </w:t>
            </w:r>
            <w:r>
              <w:rPr>
                <w:rFonts w:hint="eastAsia"/>
                <w:highlight w:val="none"/>
                <w:u w:val="single"/>
              </w:rPr>
              <w:t xml:space="preserve"> </w:t>
            </w:r>
            <w:r>
              <w:rPr>
                <w:highlight w:val="none"/>
                <w:u w:val="single"/>
              </w:rPr>
              <w:t>%</w:t>
            </w:r>
          </w:p>
        </w:tc>
      </w:tr>
      <w:tr w14:paraId="689D7CB0">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6959B354">
            <w:pPr>
              <w:pStyle w:val="30"/>
              <w:snapToGrid w:val="0"/>
              <w:jc w:val="center"/>
              <w:rPr>
                <w:highlight w:val="none"/>
                <w:u w:val="single"/>
              </w:rPr>
            </w:pPr>
          </w:p>
        </w:tc>
        <w:tc>
          <w:tcPr>
            <w:tcW w:w="5175" w:type="dxa"/>
            <w:tcBorders>
              <w:top w:val="single" w:color="000000" w:sz="4" w:space="0"/>
              <w:left w:val="single" w:color="000000" w:sz="4" w:space="0"/>
              <w:bottom w:val="single" w:color="000000" w:sz="4" w:space="0"/>
              <w:right w:val="single" w:color="000000" w:sz="4" w:space="0"/>
            </w:tcBorders>
            <w:vAlign w:val="center"/>
          </w:tcPr>
          <w:p w14:paraId="31418AB0">
            <w:pPr>
              <w:pStyle w:val="30"/>
              <w:jc w:val="center"/>
              <w:rPr>
                <w:sz w:val="24"/>
                <w:highlight w:val="none"/>
              </w:rPr>
            </w:pPr>
            <w:r>
              <w:rPr>
                <w:sz w:val="24"/>
                <w:highlight w:val="none"/>
              </w:rPr>
              <w:t>合计</w:t>
            </w:r>
          </w:p>
        </w:tc>
        <w:tc>
          <w:tcPr>
            <w:tcW w:w="1652" w:type="dxa"/>
            <w:tcBorders>
              <w:top w:val="single" w:color="000000" w:sz="4" w:space="0"/>
              <w:left w:val="single" w:color="000000" w:sz="4" w:space="0"/>
              <w:bottom w:val="single" w:color="000000" w:sz="4" w:space="0"/>
              <w:right w:val="single" w:color="000000" w:sz="4" w:space="0"/>
            </w:tcBorders>
            <w:vAlign w:val="center"/>
          </w:tcPr>
          <w:p w14:paraId="3A724E5D">
            <w:pPr>
              <w:pStyle w:val="30"/>
              <w:snapToGrid w:val="0"/>
              <w:jc w:val="center"/>
              <w:rPr>
                <w:sz w:val="24"/>
                <w:highlight w:val="none"/>
              </w:rPr>
            </w:pPr>
          </w:p>
        </w:tc>
        <w:tc>
          <w:tcPr>
            <w:tcW w:w="2414" w:type="dxa"/>
            <w:tcBorders>
              <w:top w:val="single" w:color="000000" w:sz="4" w:space="0"/>
              <w:left w:val="single" w:color="000000" w:sz="4" w:space="0"/>
              <w:bottom w:val="single" w:color="000000" w:sz="4" w:space="0"/>
              <w:right w:val="single" w:color="000000" w:sz="4" w:space="0"/>
            </w:tcBorders>
            <w:vAlign w:val="center"/>
          </w:tcPr>
          <w:p w14:paraId="4E352A1D">
            <w:pPr>
              <w:pStyle w:val="30"/>
              <w:snapToGrid w:val="0"/>
              <w:jc w:val="center"/>
              <w:rPr>
                <w:highlight w:val="none"/>
              </w:rPr>
            </w:pPr>
          </w:p>
        </w:tc>
      </w:tr>
    </w:tbl>
    <w:p w14:paraId="7CC56A30">
      <w:pPr>
        <w:pStyle w:val="28"/>
        <w:widowControl/>
        <w:spacing w:line="360" w:lineRule="auto"/>
        <w:jc w:val="left"/>
        <w:rPr>
          <w:rFonts w:ascii="宋体" w:hAnsi="宋体" w:cs="宋体"/>
          <w:kern w:val="0"/>
          <w:sz w:val="24"/>
          <w:highlight w:val="none"/>
        </w:rPr>
      </w:pPr>
      <w:r>
        <w:rPr>
          <w:rFonts w:ascii="宋体" w:hAnsi="宋体" w:cs="宋体"/>
          <w:kern w:val="0"/>
          <w:sz w:val="24"/>
          <w:highlight w:val="none"/>
        </w:rPr>
        <w:t>2、一旦我方中标，</w:t>
      </w:r>
      <w:r>
        <w:rPr>
          <w:rFonts w:ascii="宋体" w:hAnsi="宋体" w:cs="宋体"/>
          <w:sz w:val="24"/>
          <w:highlight w:val="none"/>
        </w:rPr>
        <w:t>服务时间服从招标人的要求</w:t>
      </w:r>
      <w:r>
        <w:rPr>
          <w:rFonts w:ascii="宋体" w:hAnsi="宋体" w:cs="宋体"/>
          <w:kern w:val="0"/>
          <w:sz w:val="24"/>
          <w:highlight w:val="none"/>
          <w:lang w:val="zh-CN"/>
        </w:rPr>
        <w:t>。</w:t>
      </w:r>
      <w:r>
        <w:rPr>
          <w:rFonts w:ascii="宋体" w:hAnsi="宋体" w:cs="宋体"/>
          <w:kern w:val="0"/>
          <w:sz w:val="24"/>
          <w:highlight w:val="none"/>
        </w:rPr>
        <w:t>如果违约，贵方有权中止我方中标并选择其它中标单位。</w:t>
      </w:r>
    </w:p>
    <w:p w14:paraId="3C87B61D">
      <w:pPr>
        <w:pStyle w:val="28"/>
        <w:widowControl/>
        <w:spacing w:line="360" w:lineRule="auto"/>
        <w:rPr>
          <w:rFonts w:ascii="宋体" w:hAnsi="宋体" w:cs="宋体"/>
          <w:kern w:val="0"/>
          <w:sz w:val="24"/>
          <w:highlight w:val="none"/>
        </w:rPr>
      </w:pPr>
      <w:r>
        <w:rPr>
          <w:rFonts w:ascii="宋体" w:hAnsi="宋体" w:cs="宋体"/>
          <w:kern w:val="0"/>
          <w:sz w:val="24"/>
          <w:highlight w:val="none"/>
        </w:rPr>
        <w:t>3、本次投标，我单位派出的项目负责人为</w:t>
      </w:r>
      <w:r>
        <w:rPr>
          <w:rFonts w:ascii="宋体" w:hAnsi="宋体" w:cs="宋体"/>
          <w:kern w:val="0"/>
          <w:sz w:val="24"/>
          <w:highlight w:val="none"/>
          <w:u w:val="single"/>
        </w:rPr>
        <w:t xml:space="preserve">           </w:t>
      </w:r>
      <w:r>
        <w:rPr>
          <w:rFonts w:ascii="宋体" w:hAnsi="宋体" w:cs="宋体"/>
          <w:kern w:val="0"/>
          <w:sz w:val="24"/>
          <w:highlight w:val="none"/>
        </w:rPr>
        <w:t>。</w:t>
      </w:r>
    </w:p>
    <w:p w14:paraId="3D6247FC">
      <w:pPr>
        <w:pStyle w:val="28"/>
        <w:widowControl/>
        <w:spacing w:line="360" w:lineRule="auto"/>
        <w:rPr>
          <w:rFonts w:ascii="宋体" w:hAnsi="宋体" w:cs="宋体"/>
          <w:kern w:val="0"/>
          <w:sz w:val="24"/>
          <w:highlight w:val="none"/>
        </w:rPr>
      </w:pPr>
      <w:r>
        <w:rPr>
          <w:rFonts w:ascii="宋体" w:hAnsi="宋体" w:cs="宋体"/>
          <w:kern w:val="0"/>
          <w:sz w:val="24"/>
          <w:highlight w:val="none"/>
        </w:rPr>
        <w:t>4、我方理解：你方不必定授标给最低报价的投标人或其他任一投标人。</w:t>
      </w:r>
    </w:p>
    <w:p w14:paraId="7E705307">
      <w:pPr>
        <w:pStyle w:val="28"/>
        <w:widowControl/>
        <w:spacing w:line="360" w:lineRule="auto"/>
        <w:rPr>
          <w:rFonts w:ascii="宋体" w:hAnsi="宋体" w:cs="宋体"/>
          <w:kern w:val="0"/>
          <w:sz w:val="24"/>
          <w:highlight w:val="none"/>
        </w:rPr>
      </w:pPr>
      <w:r>
        <w:rPr>
          <w:rFonts w:ascii="宋体" w:hAnsi="宋体" w:cs="宋体"/>
          <w:kern w:val="0"/>
          <w:sz w:val="24"/>
          <w:highlight w:val="none"/>
        </w:rPr>
        <w:t>5、我方同意所提交的投标文件在“投标须知”中规定的投标有效期内有效，在此期间如果中标，我方将受此约束。严格遵守国家法律、法规及江苏省、盐城市现行招投标管理的规定，如有违反，贵方有权取消我方的投标资格。</w:t>
      </w:r>
    </w:p>
    <w:p w14:paraId="362E347F">
      <w:pPr>
        <w:pStyle w:val="28"/>
        <w:widowControl/>
        <w:spacing w:line="360" w:lineRule="auto"/>
        <w:jc w:val="left"/>
        <w:rPr>
          <w:rFonts w:ascii="宋体" w:hAnsi="宋体" w:cs="宋体"/>
          <w:kern w:val="0"/>
          <w:sz w:val="24"/>
          <w:highlight w:val="none"/>
        </w:rPr>
      </w:pPr>
      <w:r>
        <w:rPr>
          <w:rFonts w:ascii="宋体" w:hAnsi="宋体" w:cs="宋体"/>
          <w:kern w:val="0"/>
          <w:sz w:val="24"/>
          <w:highlight w:val="none"/>
        </w:rPr>
        <w:t>6、你方的中标通知书和本投标文件将成为约束双方的合同文件的组成部分。</w:t>
      </w:r>
    </w:p>
    <w:p w14:paraId="25A0B6D8">
      <w:pPr>
        <w:pStyle w:val="28"/>
        <w:widowControl/>
        <w:spacing w:line="400" w:lineRule="exact"/>
        <w:jc w:val="left"/>
        <w:rPr>
          <w:rFonts w:ascii="宋体" w:hAnsi="宋体" w:cs="宋体"/>
          <w:kern w:val="0"/>
          <w:sz w:val="24"/>
          <w:highlight w:val="none"/>
        </w:rPr>
      </w:pPr>
      <w:r>
        <w:rPr>
          <w:rFonts w:hint="eastAsia" w:ascii="宋体" w:hAnsi="宋体" w:cs="宋体"/>
          <w:kern w:val="0"/>
          <w:sz w:val="24"/>
          <w:highlight w:val="none"/>
        </w:rPr>
        <w:t>7、本次报价完成响应询价文件所约定服务内容。</w:t>
      </w:r>
    </w:p>
    <w:p w14:paraId="2193339E">
      <w:pPr>
        <w:pStyle w:val="28"/>
        <w:widowControl/>
        <w:spacing w:line="400" w:lineRule="exact"/>
        <w:jc w:val="left"/>
        <w:rPr>
          <w:rFonts w:ascii="宋体" w:hAnsi="宋体" w:cs="宋体"/>
          <w:kern w:val="0"/>
          <w:sz w:val="24"/>
          <w:highlight w:val="none"/>
        </w:rPr>
      </w:pPr>
    </w:p>
    <w:p w14:paraId="27300240">
      <w:pPr>
        <w:pStyle w:val="28"/>
        <w:widowControl/>
        <w:spacing w:line="480" w:lineRule="auto"/>
        <w:jc w:val="left"/>
        <w:rPr>
          <w:rFonts w:ascii="宋体" w:hAnsi="宋体" w:cs="宋体"/>
          <w:kern w:val="0"/>
          <w:sz w:val="24"/>
          <w:highlight w:val="none"/>
        </w:rPr>
      </w:pPr>
      <w:r>
        <w:rPr>
          <w:rFonts w:ascii="宋体" w:hAnsi="宋体" w:cs="宋体"/>
          <w:kern w:val="0"/>
          <w:sz w:val="24"/>
          <w:highlight w:val="none"/>
        </w:rPr>
        <w:t>投 标 人：</w:t>
      </w:r>
      <w:r>
        <w:rPr>
          <w:rFonts w:ascii="宋体" w:hAnsi="宋体" w:cs="宋体"/>
          <w:kern w:val="0"/>
          <w:sz w:val="24"/>
          <w:highlight w:val="none"/>
          <w:u w:val="single"/>
        </w:rPr>
        <w:t xml:space="preserve">              </w:t>
      </w:r>
      <w:r>
        <w:rPr>
          <w:rFonts w:ascii="宋体" w:hAnsi="宋体" w:cs="宋体"/>
          <w:kern w:val="0"/>
          <w:sz w:val="24"/>
          <w:highlight w:val="none"/>
          <w:u w:val="single"/>
        </w:rPr>
        <w:tab/>
      </w:r>
      <w:r>
        <w:rPr>
          <w:rFonts w:ascii="宋体" w:hAnsi="宋体" w:cs="宋体"/>
          <w:kern w:val="0"/>
          <w:sz w:val="24"/>
          <w:highlight w:val="none"/>
          <w:u w:val="single"/>
        </w:rPr>
        <w:tab/>
      </w:r>
      <w:r>
        <w:rPr>
          <w:rFonts w:ascii="宋体" w:hAnsi="宋体" w:cs="宋体"/>
          <w:kern w:val="0"/>
          <w:sz w:val="24"/>
          <w:highlight w:val="none"/>
          <w:u w:val="single"/>
        </w:rPr>
        <w:tab/>
      </w:r>
      <w:r>
        <w:rPr>
          <w:rFonts w:ascii="宋体" w:hAnsi="宋体" w:cs="宋体"/>
          <w:kern w:val="0"/>
          <w:sz w:val="24"/>
          <w:highlight w:val="none"/>
          <w:u w:val="single"/>
        </w:rPr>
        <w:tab/>
      </w:r>
      <w:r>
        <w:rPr>
          <w:rFonts w:ascii="宋体" w:hAnsi="宋体" w:cs="宋体"/>
          <w:kern w:val="0"/>
          <w:sz w:val="24"/>
          <w:highlight w:val="none"/>
        </w:rPr>
        <w:t xml:space="preserve"> （盖章）</w:t>
      </w:r>
    </w:p>
    <w:p w14:paraId="77D32085">
      <w:pPr>
        <w:pStyle w:val="28"/>
        <w:widowControl/>
        <w:spacing w:line="480" w:lineRule="auto"/>
        <w:jc w:val="left"/>
        <w:rPr>
          <w:rFonts w:ascii="宋体" w:hAnsi="宋体" w:cs="宋体"/>
          <w:kern w:val="0"/>
          <w:sz w:val="24"/>
          <w:highlight w:val="none"/>
        </w:rPr>
      </w:pPr>
      <w:r>
        <w:rPr>
          <w:rFonts w:ascii="宋体" w:hAnsi="宋体" w:cs="宋体"/>
          <w:kern w:val="0"/>
          <w:sz w:val="24"/>
          <w:highlight w:val="none"/>
        </w:rPr>
        <w:t>单位地址：</w:t>
      </w:r>
      <w:r>
        <w:rPr>
          <w:rFonts w:ascii="宋体" w:hAnsi="宋体" w:cs="宋体"/>
          <w:kern w:val="0"/>
          <w:sz w:val="24"/>
          <w:highlight w:val="none"/>
          <w:u w:val="single"/>
        </w:rPr>
        <w:tab/>
      </w:r>
      <w:r>
        <w:rPr>
          <w:rFonts w:ascii="宋体" w:hAnsi="宋体" w:cs="宋体"/>
          <w:kern w:val="0"/>
          <w:sz w:val="24"/>
          <w:highlight w:val="none"/>
          <w:u w:val="single"/>
        </w:rPr>
        <w:tab/>
      </w:r>
      <w:r>
        <w:rPr>
          <w:rFonts w:ascii="宋体" w:hAnsi="宋体" w:cs="宋体"/>
          <w:kern w:val="0"/>
          <w:sz w:val="24"/>
          <w:highlight w:val="none"/>
          <w:u w:val="single"/>
        </w:rPr>
        <w:tab/>
      </w:r>
      <w:r>
        <w:rPr>
          <w:rFonts w:ascii="宋体" w:hAnsi="宋体" w:cs="宋体"/>
          <w:kern w:val="0"/>
          <w:sz w:val="24"/>
          <w:highlight w:val="none"/>
          <w:u w:val="single"/>
        </w:rPr>
        <w:tab/>
      </w:r>
      <w:r>
        <w:rPr>
          <w:rFonts w:ascii="宋体" w:hAnsi="宋体" w:cs="宋体"/>
          <w:kern w:val="0"/>
          <w:sz w:val="24"/>
          <w:highlight w:val="none"/>
          <w:u w:val="single"/>
        </w:rPr>
        <w:tab/>
      </w:r>
      <w:r>
        <w:rPr>
          <w:rFonts w:ascii="宋体" w:hAnsi="宋体" w:cs="宋体"/>
          <w:kern w:val="0"/>
          <w:sz w:val="24"/>
          <w:highlight w:val="none"/>
          <w:u w:val="single"/>
        </w:rPr>
        <w:tab/>
      </w:r>
      <w:r>
        <w:rPr>
          <w:rFonts w:ascii="宋体" w:hAnsi="宋体" w:cs="宋体"/>
          <w:kern w:val="0"/>
          <w:sz w:val="24"/>
          <w:highlight w:val="none"/>
          <w:u w:val="single"/>
        </w:rPr>
        <w:t xml:space="preserve">     </w:t>
      </w:r>
    </w:p>
    <w:p w14:paraId="79939542">
      <w:pPr>
        <w:pStyle w:val="28"/>
        <w:widowControl/>
        <w:spacing w:line="480" w:lineRule="auto"/>
        <w:jc w:val="left"/>
        <w:rPr>
          <w:rFonts w:ascii="宋体" w:hAnsi="宋体" w:cs="宋体"/>
          <w:kern w:val="0"/>
          <w:sz w:val="24"/>
          <w:highlight w:val="none"/>
        </w:rPr>
      </w:pPr>
      <w:r>
        <w:rPr>
          <w:rFonts w:ascii="宋体" w:hAnsi="宋体" w:cs="宋体"/>
          <w:kern w:val="0"/>
          <w:sz w:val="24"/>
          <w:highlight w:val="none"/>
        </w:rPr>
        <w:t>法定代表人或其委托代理人（签字或盖章）：</w:t>
      </w:r>
      <w:r>
        <w:rPr>
          <w:rFonts w:ascii="宋体" w:hAnsi="宋体" w:cs="宋体"/>
          <w:kern w:val="0"/>
          <w:sz w:val="24"/>
          <w:highlight w:val="none"/>
          <w:u w:val="single"/>
        </w:rPr>
        <w:t xml:space="preserve">           </w:t>
      </w:r>
    </w:p>
    <w:p w14:paraId="2DD20A6D">
      <w:pPr>
        <w:widowControl/>
        <w:jc w:val="left"/>
        <w:rPr>
          <w:rFonts w:ascii="宋体" w:hAnsi="宋体" w:eastAsia="宋体"/>
          <w:sz w:val="28"/>
          <w:highlight w:val="none"/>
        </w:rPr>
      </w:pPr>
      <w:r>
        <w:rPr>
          <w:rFonts w:ascii="宋体" w:hAnsi="宋体" w:cs="宋体"/>
          <w:kern w:val="0"/>
          <w:sz w:val="24"/>
          <w:highlight w:val="none"/>
        </w:rPr>
        <w:t>日        期：</w:t>
      </w:r>
      <w:r>
        <w:rPr>
          <w:rFonts w:ascii="宋体" w:hAnsi="宋体" w:cs="宋体"/>
          <w:kern w:val="0"/>
          <w:sz w:val="24"/>
          <w:highlight w:val="none"/>
          <w:u w:val="single"/>
        </w:rPr>
        <w:tab/>
      </w:r>
      <w:r>
        <w:rPr>
          <w:rFonts w:ascii="宋体" w:hAnsi="宋体" w:cs="宋体"/>
          <w:kern w:val="0"/>
          <w:sz w:val="24"/>
          <w:highlight w:val="none"/>
          <w:u w:val="single"/>
        </w:rPr>
        <w:t xml:space="preserve">      </w:t>
      </w:r>
      <w:r>
        <w:rPr>
          <w:rFonts w:ascii="宋体" w:hAnsi="宋体" w:cs="宋体"/>
          <w:kern w:val="0"/>
          <w:sz w:val="24"/>
          <w:highlight w:val="none"/>
        </w:rPr>
        <w:t>年</w:t>
      </w:r>
      <w:r>
        <w:rPr>
          <w:rFonts w:ascii="宋体" w:hAnsi="宋体" w:cs="宋体"/>
          <w:kern w:val="0"/>
          <w:sz w:val="24"/>
          <w:highlight w:val="none"/>
          <w:u w:val="single"/>
        </w:rPr>
        <w:tab/>
      </w:r>
      <w:r>
        <w:rPr>
          <w:rFonts w:ascii="宋体" w:hAnsi="宋体" w:cs="宋体"/>
          <w:kern w:val="0"/>
          <w:sz w:val="24"/>
          <w:highlight w:val="none"/>
          <w:u w:val="single"/>
        </w:rPr>
        <w:t xml:space="preserve">     </w:t>
      </w:r>
      <w:r>
        <w:rPr>
          <w:rFonts w:ascii="宋体" w:hAnsi="宋体" w:cs="宋体"/>
          <w:kern w:val="0"/>
          <w:sz w:val="24"/>
          <w:highlight w:val="none"/>
        </w:rPr>
        <w:t>月</w:t>
      </w:r>
      <w:r>
        <w:rPr>
          <w:rFonts w:ascii="宋体" w:hAnsi="宋体" w:cs="宋体"/>
          <w:kern w:val="0"/>
          <w:sz w:val="24"/>
          <w:highlight w:val="none"/>
          <w:u w:val="single"/>
        </w:rPr>
        <w:tab/>
      </w:r>
      <w:r>
        <w:rPr>
          <w:rFonts w:ascii="宋体" w:hAnsi="宋体" w:cs="宋体"/>
          <w:kern w:val="0"/>
          <w:sz w:val="24"/>
          <w:highlight w:val="none"/>
          <w:u w:val="single"/>
        </w:rPr>
        <w:t xml:space="preserve">     </w:t>
      </w:r>
      <w:r>
        <w:rPr>
          <w:rFonts w:ascii="宋体" w:hAnsi="宋体" w:cs="宋体"/>
          <w:kern w:val="0"/>
          <w:sz w:val="24"/>
          <w:highlight w:val="none"/>
        </w:rPr>
        <w:t>日</w:t>
      </w:r>
    </w:p>
    <w:p w14:paraId="6DE6BE67">
      <w:pPr>
        <w:rPr>
          <w:rFonts w:ascii="宋体" w:hAnsi="宋体" w:cs="宋体"/>
          <w:b/>
          <w:bCs/>
          <w:sz w:val="24"/>
          <w:highlight w:val="none"/>
        </w:rPr>
      </w:pPr>
    </w:p>
    <w:p w14:paraId="48236835">
      <w:pPr>
        <w:rPr>
          <w:rFonts w:ascii="宋体" w:hAnsi="宋体" w:cs="宋体"/>
          <w:b/>
          <w:bCs/>
          <w:sz w:val="24"/>
          <w:highlight w:val="none"/>
        </w:rPr>
      </w:pPr>
    </w:p>
    <w:p w14:paraId="11619D96">
      <w:pPr>
        <w:rPr>
          <w:rFonts w:ascii="宋体" w:hAnsi="宋体" w:cs="宋体"/>
          <w:b/>
          <w:bCs/>
          <w:sz w:val="24"/>
          <w:highlight w:val="none"/>
        </w:rPr>
      </w:pPr>
      <w:r>
        <w:rPr>
          <w:rFonts w:hint="eastAsia" w:ascii="宋体" w:hAnsi="宋体" w:cs="宋体"/>
          <w:b/>
          <w:bCs/>
          <w:sz w:val="24"/>
          <w:highlight w:val="none"/>
        </w:rPr>
        <w:t>附件2：</w:t>
      </w:r>
    </w:p>
    <w:p w14:paraId="68E73F48">
      <w:pPr>
        <w:spacing w:line="500" w:lineRule="exact"/>
        <w:jc w:val="center"/>
        <w:rPr>
          <w:rFonts w:ascii="宋体" w:hAnsi="宋体" w:eastAsia="宋体" w:cs="宋体"/>
          <w:b/>
          <w:sz w:val="40"/>
          <w:szCs w:val="44"/>
          <w:highlight w:val="none"/>
        </w:rPr>
      </w:pPr>
      <w:r>
        <w:rPr>
          <w:rFonts w:hint="eastAsia" w:ascii="宋体" w:hAnsi="宋体" w:eastAsia="宋体" w:cs="宋体"/>
          <w:b/>
          <w:sz w:val="40"/>
          <w:szCs w:val="44"/>
          <w:highlight w:val="none"/>
        </w:rPr>
        <w:t>法定代表人身份证明书</w:t>
      </w:r>
    </w:p>
    <w:p w14:paraId="0A73AB6A">
      <w:pPr>
        <w:spacing w:line="500" w:lineRule="exact"/>
        <w:rPr>
          <w:rFonts w:ascii="宋体" w:hAnsi="宋体" w:eastAsia="宋体" w:cs="宋体"/>
          <w:sz w:val="28"/>
          <w:highlight w:val="none"/>
        </w:rPr>
      </w:pPr>
    </w:p>
    <w:p w14:paraId="1283B776">
      <w:pPr>
        <w:spacing w:line="500" w:lineRule="exact"/>
        <w:ind w:firstLine="480" w:firstLineChars="200"/>
        <w:rPr>
          <w:rFonts w:ascii="宋体" w:hAnsi="宋体" w:eastAsia="宋体" w:cs="宋体"/>
          <w:sz w:val="24"/>
          <w:highlight w:val="none"/>
          <w:u w:val="single"/>
        </w:rPr>
      </w:pPr>
      <w:r>
        <w:rPr>
          <w:rFonts w:hint="eastAsia" w:ascii="宋体" w:hAnsi="宋体" w:eastAsia="宋体" w:cs="宋体"/>
          <w:sz w:val="24"/>
          <w:highlight w:val="none"/>
        </w:rPr>
        <w:t>单位名称：</w:t>
      </w:r>
      <w:r>
        <w:rPr>
          <w:rFonts w:hint="eastAsia" w:ascii="宋体" w:hAnsi="宋体" w:eastAsia="宋体" w:cs="宋体"/>
          <w:sz w:val="24"/>
          <w:highlight w:val="none"/>
          <w:u w:val="single"/>
        </w:rPr>
        <w:t xml:space="preserve">                                     </w:t>
      </w:r>
    </w:p>
    <w:p w14:paraId="6221D4F3">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单位性质：</w:t>
      </w:r>
      <w:r>
        <w:rPr>
          <w:rFonts w:hint="eastAsia" w:ascii="宋体" w:hAnsi="宋体" w:eastAsia="宋体" w:cs="宋体"/>
          <w:sz w:val="24"/>
          <w:highlight w:val="none"/>
          <w:u w:val="single"/>
        </w:rPr>
        <w:t xml:space="preserve">                                     </w:t>
      </w:r>
    </w:p>
    <w:p w14:paraId="46F35920">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u w:val="single"/>
        </w:rPr>
        <w:t xml:space="preserve">                                     </w:t>
      </w:r>
    </w:p>
    <w:p w14:paraId="00AEFB38">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成立时间：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53E8379C">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经营期限：</w:t>
      </w:r>
      <w:r>
        <w:rPr>
          <w:rFonts w:hint="eastAsia" w:ascii="宋体" w:hAnsi="宋体" w:eastAsia="宋体" w:cs="宋体"/>
          <w:sz w:val="24"/>
          <w:highlight w:val="none"/>
          <w:u w:val="single"/>
        </w:rPr>
        <w:t xml:space="preserve">                                     </w:t>
      </w:r>
    </w:p>
    <w:p w14:paraId="0EAA3238">
      <w:pPr>
        <w:spacing w:line="500" w:lineRule="exact"/>
        <w:ind w:left="239" w:leftChars="114" w:firstLine="240" w:firstLineChars="100"/>
        <w:rPr>
          <w:rFonts w:ascii="宋体" w:hAnsi="宋体" w:eastAsia="宋体" w:cs="宋体"/>
          <w:sz w:val="24"/>
          <w:highlight w:val="none"/>
        </w:rPr>
      </w:pPr>
      <w:r>
        <w:rPr>
          <w:rFonts w:hint="eastAsia" w:ascii="宋体" w:hAnsi="宋体" w:eastAsia="宋体" w:cs="宋体"/>
          <w:sz w:val="24"/>
          <w:highlight w:val="none"/>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性别：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年龄：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职务：</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系</w:t>
      </w:r>
      <w:r>
        <w:rPr>
          <w:rFonts w:hint="eastAsia" w:ascii="宋体" w:hAnsi="宋体" w:eastAsia="宋体" w:cs="宋体"/>
          <w:sz w:val="24"/>
          <w:highlight w:val="none"/>
          <w:u w:val="single"/>
        </w:rPr>
        <w:t xml:space="preserve">                                （报价单位）            </w:t>
      </w:r>
      <w:r>
        <w:rPr>
          <w:rFonts w:hint="eastAsia" w:ascii="宋体" w:hAnsi="宋体" w:eastAsia="宋体" w:cs="宋体"/>
          <w:sz w:val="24"/>
          <w:highlight w:val="none"/>
        </w:rPr>
        <w:t>的法定代表人。</w:t>
      </w:r>
    </w:p>
    <w:p w14:paraId="3255456B">
      <w:pPr>
        <w:spacing w:line="500" w:lineRule="exact"/>
        <w:ind w:firstLine="480" w:firstLineChars="200"/>
        <w:rPr>
          <w:rFonts w:ascii="宋体" w:hAnsi="宋体" w:eastAsia="宋体" w:cs="宋体"/>
          <w:sz w:val="24"/>
          <w:highlight w:val="none"/>
        </w:rPr>
      </w:pPr>
    </w:p>
    <w:p w14:paraId="0C54E0C2">
      <w:pPr>
        <w:spacing w:line="500" w:lineRule="exact"/>
        <w:ind w:firstLine="480" w:firstLineChars="200"/>
        <w:rPr>
          <w:rFonts w:ascii="宋体" w:hAnsi="宋体" w:eastAsia="宋体" w:cs="宋体"/>
          <w:sz w:val="24"/>
          <w:highlight w:val="none"/>
        </w:rPr>
      </w:pPr>
      <w:r>
        <w:rPr>
          <w:rFonts w:ascii="宋体" w:hAnsi="宋体" w:eastAsia="宋体" w:cs="宋体"/>
          <w:sz w:val="24"/>
          <w:highlight w:val="none"/>
        </w:rPr>
        <mc:AlternateContent>
          <mc:Choice Requires="wps">
            <w:drawing>
              <wp:anchor distT="45720" distB="45720" distL="114300" distR="114300" simplePos="0" relativeHeight="251660288"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1B37E4BC">
                            <w:pPr>
                              <w:spacing w:line="500" w:lineRule="exact"/>
                              <w:ind w:firstLine="480" w:firstLineChars="200"/>
                              <w:rPr>
                                <w:rFonts w:ascii="宋体" w:hAnsi="宋体" w:eastAsia="宋体" w:cs="宋体"/>
                                <w:sz w:val="24"/>
                              </w:rPr>
                            </w:pPr>
                          </w:p>
                          <w:p w14:paraId="4A4EB918">
                            <w:pPr>
                              <w:spacing w:line="500" w:lineRule="exact"/>
                              <w:ind w:firstLine="480" w:firstLineChars="200"/>
                              <w:rPr>
                                <w:rFonts w:ascii="宋体" w:hAnsi="宋体" w:eastAsia="宋体" w:cs="宋体"/>
                                <w:sz w:val="24"/>
                              </w:rPr>
                            </w:pPr>
                          </w:p>
                          <w:p w14:paraId="491F9B6B">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5C9A3F92"/>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9.6pt;margin-top:33.95pt;height:152.4pt;width:238.2pt;mso-wrap-distance-bottom:3.6pt;mso-wrap-distance-left:9pt;mso-wrap-distance-right:9pt;mso-wrap-distance-top:3.6pt;z-index:251660288;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vTKLPaAAAACgEAAA8AAAAAAAAAAQAgAAAAIgAAAGRy&#10;cy9kb3ducmV2LnhtbFBLAQIUABQAAAAIAIdO4kBwx59fPAIAAHwEAAAOAAAAAAAAAAEAIAAAACkB&#10;AABkcnMvZTJvRG9jLnhtbFBLBQYAAAAABgAGAFkBAADXBQAAAAA=&#10;">
                <v:fill on="t" focussize="0,0"/>
                <v:stroke color="#000000" miterlimit="8" joinstyle="miter"/>
                <v:imagedata o:title=""/>
                <o:lock v:ext="edit" aspectratio="f"/>
                <v:textbox>
                  <w:txbxContent>
                    <w:p w14:paraId="1B37E4BC">
                      <w:pPr>
                        <w:spacing w:line="500" w:lineRule="exact"/>
                        <w:ind w:firstLine="480" w:firstLineChars="200"/>
                        <w:rPr>
                          <w:rFonts w:ascii="宋体" w:hAnsi="宋体" w:eastAsia="宋体" w:cs="宋体"/>
                          <w:sz w:val="24"/>
                        </w:rPr>
                      </w:pPr>
                    </w:p>
                    <w:p w14:paraId="4A4EB918">
                      <w:pPr>
                        <w:spacing w:line="500" w:lineRule="exact"/>
                        <w:ind w:firstLine="480" w:firstLineChars="200"/>
                        <w:rPr>
                          <w:rFonts w:ascii="宋体" w:hAnsi="宋体" w:eastAsia="宋体" w:cs="宋体"/>
                          <w:sz w:val="24"/>
                        </w:rPr>
                      </w:pPr>
                    </w:p>
                    <w:p w14:paraId="491F9B6B">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5C9A3F92"/>
                  </w:txbxContent>
                </v:textbox>
                <w10:wrap type="square"/>
              </v:shape>
            </w:pict>
          </mc:Fallback>
        </mc:AlternateContent>
      </w:r>
    </w:p>
    <w:p w14:paraId="2F3F1F83">
      <w:pPr>
        <w:spacing w:line="500" w:lineRule="exact"/>
        <w:ind w:firstLine="480" w:firstLineChars="200"/>
        <w:rPr>
          <w:rFonts w:ascii="宋体" w:hAnsi="宋体" w:eastAsia="宋体" w:cs="宋体"/>
          <w:sz w:val="24"/>
          <w:highlight w:val="none"/>
        </w:rPr>
      </w:pPr>
      <w:r>
        <w:rPr>
          <w:rFonts w:ascii="宋体" w:hAnsi="宋体" w:eastAsia="宋体" w:cs="宋体"/>
          <w:sz w:val="24"/>
          <w:highlight w:val="none"/>
        </w:rPr>
        <mc:AlternateContent>
          <mc:Choice Requires="wps">
            <w:drawing>
              <wp:anchor distT="45720" distB="45720" distL="114300" distR="114300" simplePos="0" relativeHeight="251659264"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3745788C">
                            <w:pPr>
                              <w:spacing w:line="500" w:lineRule="exact"/>
                              <w:ind w:firstLine="480" w:firstLineChars="200"/>
                              <w:rPr>
                                <w:rFonts w:ascii="宋体" w:hAnsi="宋体" w:eastAsia="宋体" w:cs="宋体"/>
                                <w:sz w:val="24"/>
                              </w:rPr>
                            </w:pPr>
                          </w:p>
                          <w:p w14:paraId="7F2E59AA">
                            <w:pPr>
                              <w:spacing w:line="500" w:lineRule="exact"/>
                              <w:ind w:firstLine="480" w:firstLineChars="200"/>
                              <w:rPr>
                                <w:rFonts w:ascii="宋体" w:hAnsi="宋体" w:eastAsia="宋体" w:cs="宋体"/>
                                <w:sz w:val="24"/>
                              </w:rPr>
                            </w:pPr>
                          </w:p>
                          <w:p w14:paraId="3032C18D">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2637FC31"/>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59264;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XRG1LZAAAACgEAAA8AAAAAAAAAAQAgAAAAIgAAAGRy&#10;cy9kb3ducmV2LnhtbFBLAQIUABQAAAAIAIdO4kAC4ovIPQIAAH4EAAAOAAAAAAAAAAEAIAAAACgB&#10;AABkcnMvZTJvRG9jLnhtbFBLBQYAAAAABgAGAFkBAADXBQAAAAA=&#10;">
                <v:fill on="t" focussize="0,0"/>
                <v:stroke color="#000000" miterlimit="8" joinstyle="miter"/>
                <v:imagedata o:title=""/>
                <o:lock v:ext="edit" aspectratio="f"/>
                <v:textbox>
                  <w:txbxContent>
                    <w:p w14:paraId="3745788C">
                      <w:pPr>
                        <w:spacing w:line="500" w:lineRule="exact"/>
                        <w:ind w:firstLine="480" w:firstLineChars="200"/>
                        <w:rPr>
                          <w:rFonts w:ascii="宋体" w:hAnsi="宋体" w:eastAsia="宋体" w:cs="宋体"/>
                          <w:sz w:val="24"/>
                        </w:rPr>
                      </w:pPr>
                    </w:p>
                    <w:p w14:paraId="7F2E59AA">
                      <w:pPr>
                        <w:spacing w:line="500" w:lineRule="exact"/>
                        <w:ind w:firstLine="480" w:firstLineChars="200"/>
                        <w:rPr>
                          <w:rFonts w:ascii="宋体" w:hAnsi="宋体" w:eastAsia="宋体" w:cs="宋体"/>
                          <w:sz w:val="24"/>
                        </w:rPr>
                      </w:pPr>
                    </w:p>
                    <w:p w14:paraId="3032C18D">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2637FC31"/>
                  </w:txbxContent>
                </v:textbox>
                <w10:wrap type="square"/>
              </v:shape>
            </w:pict>
          </mc:Fallback>
        </mc:AlternateContent>
      </w:r>
    </w:p>
    <w:p w14:paraId="23A89E70">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特此证明。</w:t>
      </w:r>
    </w:p>
    <w:p w14:paraId="16D2EADC">
      <w:pPr>
        <w:spacing w:line="500" w:lineRule="exact"/>
        <w:ind w:firstLine="480" w:firstLineChars="200"/>
        <w:rPr>
          <w:rFonts w:ascii="宋体" w:hAnsi="宋体" w:eastAsia="宋体" w:cs="宋体"/>
          <w:sz w:val="24"/>
          <w:highlight w:val="none"/>
        </w:rPr>
      </w:pPr>
    </w:p>
    <w:p w14:paraId="3488A7EE">
      <w:pPr>
        <w:spacing w:line="500" w:lineRule="exact"/>
        <w:ind w:firstLine="480" w:firstLineChars="200"/>
        <w:rPr>
          <w:rFonts w:ascii="宋体" w:hAnsi="宋体" w:eastAsia="宋体" w:cs="宋体"/>
          <w:sz w:val="24"/>
          <w:highlight w:val="none"/>
        </w:rPr>
      </w:pPr>
    </w:p>
    <w:p w14:paraId="799F1D2A">
      <w:pPr>
        <w:spacing w:line="500" w:lineRule="exact"/>
        <w:ind w:firstLine="480" w:firstLineChars="200"/>
        <w:rPr>
          <w:rFonts w:ascii="宋体" w:hAnsi="宋体" w:eastAsia="宋体" w:cs="宋体"/>
          <w:sz w:val="24"/>
          <w:highlight w:val="none"/>
        </w:rPr>
      </w:pPr>
    </w:p>
    <w:p w14:paraId="682ECDF0">
      <w:pPr>
        <w:spacing w:line="500" w:lineRule="exact"/>
        <w:ind w:firstLine="480" w:firstLineChars="200"/>
        <w:rPr>
          <w:rFonts w:ascii="宋体" w:hAnsi="宋体" w:eastAsia="宋体" w:cs="宋体"/>
          <w:sz w:val="24"/>
          <w:highlight w:val="none"/>
        </w:rPr>
      </w:pPr>
    </w:p>
    <w:p w14:paraId="669F6FCA">
      <w:pPr>
        <w:spacing w:line="500" w:lineRule="exact"/>
        <w:jc w:val="center"/>
        <w:rPr>
          <w:rFonts w:ascii="宋体" w:hAnsi="宋体" w:eastAsia="宋体" w:cs="宋体"/>
          <w:sz w:val="24"/>
          <w:highlight w:val="none"/>
        </w:rPr>
      </w:pPr>
      <w:r>
        <w:rPr>
          <w:rFonts w:hint="eastAsia" w:ascii="宋体" w:hAnsi="宋体" w:eastAsia="宋体" w:cs="宋体"/>
          <w:sz w:val="24"/>
          <w:highlight w:val="none"/>
        </w:rPr>
        <w:t xml:space="preserve">                                  报价单位（盖章）：</w:t>
      </w:r>
    </w:p>
    <w:p w14:paraId="0D907F0A">
      <w:pPr>
        <w:spacing w:line="500" w:lineRule="exact"/>
        <w:ind w:firstLine="3840" w:firstLineChars="1600"/>
        <w:rPr>
          <w:rFonts w:ascii="宋体" w:hAnsi="宋体" w:eastAsia="宋体" w:cs="宋体"/>
          <w:sz w:val="24"/>
          <w:highlight w:val="none"/>
        </w:rPr>
      </w:pPr>
    </w:p>
    <w:p w14:paraId="7B665043">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 xml:space="preserve">                                        日期：    年   月   日</w:t>
      </w:r>
    </w:p>
    <w:p w14:paraId="1F220BEF">
      <w:pPr>
        <w:spacing w:line="360" w:lineRule="auto"/>
        <w:jc w:val="left"/>
        <w:rPr>
          <w:rFonts w:ascii="宋体" w:hAnsi="宋体" w:eastAsia="宋体" w:cs="宋体"/>
          <w:b/>
          <w:sz w:val="28"/>
          <w:szCs w:val="44"/>
          <w:highlight w:val="none"/>
        </w:rPr>
      </w:pPr>
      <w:r>
        <w:rPr>
          <w:rFonts w:hint="eastAsia" w:ascii="宋体" w:hAnsi="宋体" w:eastAsia="宋体" w:cs="宋体"/>
          <w:b/>
          <w:sz w:val="28"/>
          <w:szCs w:val="44"/>
          <w:highlight w:val="none"/>
        </w:rPr>
        <w:t>附件</w:t>
      </w:r>
      <w:r>
        <w:rPr>
          <w:rFonts w:ascii="宋体" w:hAnsi="宋体" w:eastAsia="宋体" w:cs="宋体"/>
          <w:b/>
          <w:sz w:val="28"/>
          <w:szCs w:val="44"/>
          <w:highlight w:val="none"/>
        </w:rPr>
        <w:t>3</w:t>
      </w:r>
      <w:r>
        <w:rPr>
          <w:rFonts w:hint="eastAsia" w:ascii="宋体" w:hAnsi="宋体" w:eastAsia="宋体" w:cs="宋体"/>
          <w:b/>
          <w:sz w:val="28"/>
          <w:szCs w:val="44"/>
          <w:highlight w:val="none"/>
        </w:rPr>
        <w:t>：</w:t>
      </w:r>
    </w:p>
    <w:p w14:paraId="78309162">
      <w:pPr>
        <w:spacing w:line="360" w:lineRule="auto"/>
        <w:jc w:val="center"/>
        <w:rPr>
          <w:rFonts w:ascii="宋体" w:hAnsi="宋体" w:eastAsia="宋体" w:cs="宋体"/>
          <w:b/>
          <w:bCs/>
          <w:sz w:val="32"/>
          <w:highlight w:val="none"/>
        </w:rPr>
      </w:pPr>
      <w:r>
        <w:rPr>
          <w:rFonts w:hint="eastAsia" w:ascii="宋体" w:hAnsi="宋体" w:eastAsia="宋体" w:cs="宋体"/>
          <w:b/>
          <w:sz w:val="40"/>
          <w:szCs w:val="44"/>
          <w:highlight w:val="none"/>
        </w:rPr>
        <w:t>授 权 委 托 书</w:t>
      </w:r>
    </w:p>
    <w:p w14:paraId="7A465A54">
      <w:pPr>
        <w:spacing w:line="360" w:lineRule="auto"/>
        <w:jc w:val="center"/>
        <w:rPr>
          <w:rFonts w:ascii="宋体" w:hAnsi="宋体" w:eastAsia="宋体" w:cs="宋体"/>
          <w:sz w:val="44"/>
          <w:highlight w:val="none"/>
        </w:rPr>
      </w:pPr>
    </w:p>
    <w:p w14:paraId="780440EC">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本授权委托书声明：我</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（姓名）系</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（报价单位名称）的法定代表人，现授权委托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（姓名）为我公司代理人，以本公司的名义参加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（询价单位）的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项目的报价活动。代理人在报价、合同谈判过程中所签署的一切文件和处理与之有关的一切事务，我均予以承认。</w:t>
      </w:r>
    </w:p>
    <w:p w14:paraId="563B9A0A">
      <w:pPr>
        <w:spacing w:line="500" w:lineRule="exact"/>
        <w:ind w:firstLine="480" w:firstLineChars="200"/>
        <w:rPr>
          <w:rFonts w:ascii="宋体" w:hAnsi="宋体" w:eastAsia="宋体" w:cs="宋体"/>
          <w:sz w:val="24"/>
          <w:highlight w:val="none"/>
        </w:rPr>
      </w:pPr>
      <w:r>
        <w:rPr>
          <w:rFonts w:ascii="宋体" w:hAnsi="宋体" w:eastAsia="宋体" w:cs="宋体"/>
          <w:sz w:val="24"/>
          <w:highlight w:val="none"/>
        </w:rPr>
        <mc:AlternateContent>
          <mc:Choice Requires="wps">
            <w:drawing>
              <wp:anchor distT="45720" distB="45720" distL="114300" distR="114300" simplePos="0" relativeHeight="251662336"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4741621C">
                            <w:pPr>
                              <w:spacing w:line="500" w:lineRule="exact"/>
                              <w:ind w:firstLine="480" w:firstLineChars="200"/>
                              <w:rPr>
                                <w:rFonts w:ascii="宋体" w:hAnsi="宋体" w:eastAsia="宋体" w:cs="宋体"/>
                                <w:sz w:val="24"/>
                              </w:rPr>
                            </w:pPr>
                          </w:p>
                          <w:p w14:paraId="325DA87C">
                            <w:pPr>
                              <w:spacing w:line="500" w:lineRule="exact"/>
                              <w:ind w:firstLine="480" w:firstLineChars="200"/>
                              <w:rPr>
                                <w:rFonts w:ascii="宋体" w:hAnsi="宋体" w:eastAsia="宋体" w:cs="宋体"/>
                                <w:sz w:val="24"/>
                              </w:rPr>
                            </w:pPr>
                          </w:p>
                          <w:p w14:paraId="4E156E7E">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273CC29F"/>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19.6pt;margin-top:33.95pt;height:152.4pt;width:238.2pt;mso-wrap-distance-bottom:3.6pt;mso-wrap-distance-left:9pt;mso-wrap-distance-right:9pt;mso-wrap-distance-top:3.6pt;z-index:251662336;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Mos9oAAAAKAQAADwAAAAAAAAABACAAAAAiAAAAZHJz&#10;L2Rvd25yZXYueG1sUEsBAhQAFAAAAAgAh07iQIiBSvE7AgAAfAQAAA4AAAAAAAAAAQAgAAAAKQEA&#10;AGRycy9lMm9Eb2MueG1sUEsFBgAAAAAGAAYAWQEAANYFAAAAAA==&#10;">
                <v:fill on="t" focussize="0,0"/>
                <v:stroke color="#000000" miterlimit="8" joinstyle="miter"/>
                <v:imagedata o:title=""/>
                <o:lock v:ext="edit" aspectratio="f"/>
                <v:textbox>
                  <w:txbxContent>
                    <w:p w14:paraId="4741621C">
                      <w:pPr>
                        <w:spacing w:line="500" w:lineRule="exact"/>
                        <w:ind w:firstLine="480" w:firstLineChars="200"/>
                        <w:rPr>
                          <w:rFonts w:ascii="宋体" w:hAnsi="宋体" w:eastAsia="宋体" w:cs="宋体"/>
                          <w:sz w:val="24"/>
                        </w:rPr>
                      </w:pPr>
                    </w:p>
                    <w:p w14:paraId="325DA87C">
                      <w:pPr>
                        <w:spacing w:line="500" w:lineRule="exact"/>
                        <w:ind w:firstLine="480" w:firstLineChars="200"/>
                        <w:rPr>
                          <w:rFonts w:ascii="宋体" w:hAnsi="宋体" w:eastAsia="宋体" w:cs="宋体"/>
                          <w:sz w:val="24"/>
                        </w:rPr>
                      </w:pPr>
                    </w:p>
                    <w:p w14:paraId="4E156E7E">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273CC29F"/>
                  </w:txbxContent>
                </v:textbox>
                <w10:wrap type="square"/>
              </v:shape>
            </w:pict>
          </mc:Fallback>
        </mc:AlternateContent>
      </w:r>
    </w:p>
    <w:p w14:paraId="479158A9">
      <w:pPr>
        <w:spacing w:line="500" w:lineRule="exact"/>
        <w:ind w:firstLine="480" w:firstLineChars="200"/>
        <w:rPr>
          <w:rFonts w:ascii="宋体" w:hAnsi="宋体" w:eastAsia="宋体" w:cs="宋体"/>
          <w:sz w:val="24"/>
          <w:highlight w:val="none"/>
        </w:rPr>
      </w:pPr>
      <w:r>
        <w:rPr>
          <w:rFonts w:ascii="宋体" w:hAnsi="宋体" w:eastAsia="宋体" w:cs="宋体"/>
          <w:sz w:val="24"/>
          <w:highlight w:val="none"/>
        </w:rPr>
        <mc:AlternateContent>
          <mc:Choice Requires="wps">
            <w:drawing>
              <wp:anchor distT="45720" distB="45720" distL="114300" distR="114300" simplePos="0" relativeHeight="251661312"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512FCF53">
                            <w:pPr>
                              <w:spacing w:line="500" w:lineRule="exact"/>
                              <w:ind w:firstLine="480" w:firstLineChars="200"/>
                              <w:rPr>
                                <w:rFonts w:ascii="宋体" w:hAnsi="宋体" w:eastAsia="宋体" w:cs="宋体"/>
                                <w:sz w:val="24"/>
                              </w:rPr>
                            </w:pPr>
                          </w:p>
                          <w:p w14:paraId="323179B2">
                            <w:pPr>
                              <w:spacing w:line="500" w:lineRule="exact"/>
                              <w:ind w:firstLine="480" w:firstLineChars="200"/>
                              <w:rPr>
                                <w:rFonts w:ascii="宋体" w:hAnsi="宋体" w:eastAsia="宋体" w:cs="宋体"/>
                                <w:sz w:val="24"/>
                              </w:rPr>
                            </w:pPr>
                          </w:p>
                          <w:p w14:paraId="2F1673A3">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0B5F031E"/>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61312;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XRG1LZAAAACgEAAA8AAAAAAAAAAQAgAAAAIgAAAGRycy9k&#10;b3ducmV2LnhtbFBLAQIUABQAAAAIAIdO4kAgvPmUOgIAAHwEAAAOAAAAAAAAAAEAIAAAACgBAABk&#10;cnMvZTJvRG9jLnhtbFBLBQYAAAAABgAGAFkBAADUBQAAAAA=&#10;">
                <v:fill on="t" focussize="0,0"/>
                <v:stroke color="#000000" miterlimit="8" joinstyle="miter"/>
                <v:imagedata o:title=""/>
                <o:lock v:ext="edit" aspectratio="f"/>
                <v:textbox>
                  <w:txbxContent>
                    <w:p w14:paraId="512FCF53">
                      <w:pPr>
                        <w:spacing w:line="500" w:lineRule="exact"/>
                        <w:ind w:firstLine="480" w:firstLineChars="200"/>
                        <w:rPr>
                          <w:rFonts w:ascii="宋体" w:hAnsi="宋体" w:eastAsia="宋体" w:cs="宋体"/>
                          <w:sz w:val="24"/>
                        </w:rPr>
                      </w:pPr>
                    </w:p>
                    <w:p w14:paraId="323179B2">
                      <w:pPr>
                        <w:spacing w:line="500" w:lineRule="exact"/>
                        <w:ind w:firstLine="480" w:firstLineChars="200"/>
                        <w:rPr>
                          <w:rFonts w:ascii="宋体" w:hAnsi="宋体" w:eastAsia="宋体" w:cs="宋体"/>
                          <w:sz w:val="24"/>
                        </w:rPr>
                      </w:pPr>
                    </w:p>
                    <w:p w14:paraId="2F1673A3">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0B5F031E"/>
                  </w:txbxContent>
                </v:textbox>
                <w10:wrap type="square"/>
              </v:shape>
            </w:pict>
          </mc:Fallback>
        </mc:AlternateContent>
      </w:r>
    </w:p>
    <w:p w14:paraId="2E031BDE">
      <w:pPr>
        <w:spacing w:line="360" w:lineRule="auto"/>
        <w:rPr>
          <w:rFonts w:ascii="宋体" w:hAnsi="宋体" w:eastAsia="宋体" w:cs="宋体"/>
          <w:sz w:val="24"/>
          <w:highlight w:val="none"/>
        </w:rPr>
      </w:pPr>
    </w:p>
    <w:p w14:paraId="4850F0A2">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代理人签名：</w:t>
      </w:r>
      <w:r>
        <w:rPr>
          <w:rFonts w:hint="eastAsia" w:ascii="宋体" w:hAnsi="宋体" w:eastAsia="宋体" w:cs="宋体"/>
          <w:sz w:val="24"/>
          <w:highlight w:val="none"/>
        </w:rPr>
        <w:t xml:space="preserve">       </w:t>
      </w:r>
    </w:p>
    <w:p w14:paraId="642C60A6">
      <w:pPr>
        <w:spacing w:line="360" w:lineRule="auto"/>
        <w:rPr>
          <w:rFonts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rPr>
        <w:t>联系电话：</w:t>
      </w:r>
    </w:p>
    <w:p w14:paraId="1584AC6E">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代理人无转委托权。特此委托。</w:t>
      </w:r>
    </w:p>
    <w:p w14:paraId="1DD7AF8F">
      <w:pPr>
        <w:spacing w:line="360" w:lineRule="auto"/>
        <w:jc w:val="center"/>
        <w:rPr>
          <w:rFonts w:ascii="宋体" w:hAnsi="宋体" w:eastAsia="宋体" w:cs="宋体"/>
          <w:sz w:val="24"/>
          <w:highlight w:val="none"/>
        </w:rPr>
      </w:pPr>
    </w:p>
    <w:p w14:paraId="7676D23E">
      <w:pPr>
        <w:spacing w:line="360" w:lineRule="auto"/>
        <w:jc w:val="center"/>
        <w:rPr>
          <w:rFonts w:ascii="宋体" w:hAnsi="宋体" w:eastAsia="宋体" w:cs="宋体"/>
          <w:sz w:val="24"/>
          <w:highlight w:val="none"/>
        </w:rPr>
      </w:pPr>
      <w:r>
        <w:rPr>
          <w:rFonts w:hint="eastAsia" w:ascii="宋体" w:hAnsi="宋体" w:eastAsia="宋体" w:cs="宋体"/>
          <w:sz w:val="24"/>
          <w:highlight w:val="none"/>
        </w:rPr>
        <w:t xml:space="preserve"> </w:t>
      </w:r>
      <w:r>
        <w:rPr>
          <w:rFonts w:ascii="宋体" w:hAnsi="宋体" w:eastAsia="宋体" w:cs="宋体"/>
          <w:sz w:val="24"/>
          <w:highlight w:val="none"/>
        </w:rPr>
        <w:t xml:space="preserve">           </w:t>
      </w:r>
      <w:r>
        <w:rPr>
          <w:rFonts w:hint="eastAsia" w:ascii="宋体" w:hAnsi="宋体" w:eastAsia="宋体" w:cs="宋体"/>
          <w:sz w:val="24"/>
          <w:highlight w:val="none"/>
        </w:rPr>
        <w:t xml:space="preserve"> </w:t>
      </w:r>
    </w:p>
    <w:p w14:paraId="476C97CC">
      <w:pPr>
        <w:spacing w:line="360" w:lineRule="auto"/>
        <w:jc w:val="center"/>
        <w:rPr>
          <w:rFonts w:ascii="宋体" w:hAnsi="宋体" w:eastAsia="宋体" w:cs="宋体"/>
          <w:sz w:val="24"/>
          <w:highlight w:val="none"/>
        </w:rPr>
      </w:pPr>
      <w:r>
        <w:rPr>
          <w:rFonts w:ascii="宋体" w:hAnsi="宋体" w:eastAsia="宋体" w:cs="宋体"/>
          <w:sz w:val="24"/>
          <w:highlight w:val="none"/>
        </w:rPr>
        <w:t xml:space="preserve">            </w:t>
      </w:r>
      <w:r>
        <w:rPr>
          <w:rFonts w:hint="eastAsia" w:ascii="宋体" w:hAnsi="宋体" w:eastAsia="宋体" w:cs="宋体"/>
          <w:sz w:val="24"/>
          <w:highlight w:val="none"/>
        </w:rPr>
        <w:t xml:space="preserve">   报价单位：（盖章）</w:t>
      </w:r>
    </w:p>
    <w:p w14:paraId="2C084FF1">
      <w:pPr>
        <w:spacing w:line="360" w:lineRule="auto"/>
        <w:jc w:val="center"/>
        <w:rPr>
          <w:rFonts w:ascii="宋体" w:hAnsi="宋体" w:eastAsia="宋体" w:cs="宋体"/>
          <w:sz w:val="24"/>
          <w:highlight w:val="none"/>
        </w:rPr>
      </w:pPr>
      <w:r>
        <w:rPr>
          <w:rFonts w:hint="eastAsia" w:ascii="宋体" w:hAnsi="宋体" w:eastAsia="宋体" w:cs="宋体"/>
          <w:sz w:val="24"/>
          <w:highlight w:val="none"/>
        </w:rPr>
        <w:t xml:space="preserve">                        法定代表人：（签字或盖章）</w:t>
      </w:r>
    </w:p>
    <w:p w14:paraId="55EF9A6E">
      <w:pPr>
        <w:spacing w:line="360" w:lineRule="auto"/>
        <w:ind w:right="480" w:firstLine="3960" w:firstLineChars="1650"/>
        <w:rPr>
          <w:rFonts w:ascii="宋体" w:hAnsi="宋体" w:eastAsia="宋体" w:cs="宋体"/>
          <w:sz w:val="24"/>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64044B8B">
      <w:pPr>
        <w:spacing w:line="360" w:lineRule="auto"/>
        <w:ind w:right="480" w:firstLine="3960" w:firstLineChars="1650"/>
        <w:rPr>
          <w:rFonts w:ascii="宋体" w:hAnsi="宋体" w:eastAsia="宋体" w:cs="宋体"/>
          <w:sz w:val="24"/>
          <w:highlight w:val="none"/>
        </w:rPr>
      </w:pPr>
    </w:p>
    <w:p w14:paraId="5D750AD7">
      <w:pPr>
        <w:spacing w:line="360" w:lineRule="auto"/>
        <w:jc w:val="left"/>
        <w:rPr>
          <w:rFonts w:ascii="宋体" w:hAnsi="宋体" w:eastAsia="宋体" w:cs="宋体"/>
          <w:b/>
          <w:sz w:val="28"/>
          <w:szCs w:val="44"/>
          <w:highlight w:val="none"/>
        </w:rPr>
      </w:pPr>
    </w:p>
    <w:p w14:paraId="367F428C">
      <w:pPr>
        <w:autoSpaceDE w:val="0"/>
        <w:autoSpaceDN w:val="0"/>
        <w:adjustRightInd w:val="0"/>
        <w:jc w:val="both"/>
        <w:rPr>
          <w:rFonts w:hint="default"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附件4：</w:t>
      </w:r>
    </w:p>
    <w:p w14:paraId="113974BF">
      <w:pPr>
        <w:autoSpaceDE w:val="0"/>
        <w:autoSpaceDN w:val="0"/>
        <w:adjustRightInd w:val="0"/>
        <w:jc w:val="center"/>
        <w:rPr>
          <w:rFonts w:ascii="宋体" w:hAnsi="宋体" w:eastAsia="宋体" w:cs="宋体"/>
          <w:b/>
          <w:bCs/>
          <w:sz w:val="32"/>
          <w:szCs w:val="32"/>
          <w:highlight w:val="none"/>
        </w:rPr>
      </w:pPr>
      <w:r>
        <w:rPr>
          <w:rFonts w:hint="eastAsia" w:ascii="宋体" w:hAnsi="宋体" w:eastAsia="宋体" w:cs="宋体"/>
          <w:b/>
          <w:bCs/>
          <w:sz w:val="32"/>
          <w:szCs w:val="32"/>
          <w:highlight w:val="none"/>
        </w:rPr>
        <w:t>拟参加本服务项目组成人员一览表</w:t>
      </w:r>
    </w:p>
    <w:p w14:paraId="64407882">
      <w:pPr>
        <w:autoSpaceDE w:val="0"/>
        <w:autoSpaceDN w:val="0"/>
        <w:adjustRightInd w:val="0"/>
        <w:ind w:firstLine="640"/>
        <w:jc w:val="left"/>
        <w:rPr>
          <w:rFonts w:ascii="宋体" w:hAnsi="宋体" w:eastAsia="宋体" w:cs="宋体"/>
          <w:b/>
          <w:bCs/>
          <w:kern w:val="0"/>
          <w:sz w:val="24"/>
          <w:highlight w:val="none"/>
        </w:rPr>
      </w:pPr>
      <w:r>
        <w:rPr>
          <w:rFonts w:hint="eastAsia" w:ascii="宋体" w:hAnsi="宋体" w:eastAsia="宋体" w:cs="宋体"/>
          <w:b/>
          <w:bCs/>
          <w:kern w:val="0"/>
          <w:sz w:val="24"/>
          <w:highlight w:val="none"/>
        </w:rPr>
        <w:tab/>
      </w:r>
      <w:r>
        <w:rPr>
          <w:rFonts w:hint="eastAsia" w:ascii="宋体" w:hAnsi="宋体" w:eastAsia="宋体" w:cs="宋体"/>
          <w:b/>
          <w:bCs/>
          <w:kern w:val="0"/>
          <w:sz w:val="24"/>
          <w:highlight w:val="none"/>
        </w:rPr>
        <w:tab/>
      </w:r>
      <w:r>
        <w:rPr>
          <w:rFonts w:hint="eastAsia" w:ascii="宋体" w:hAnsi="宋体" w:eastAsia="宋体" w:cs="宋体"/>
          <w:b/>
          <w:bCs/>
          <w:kern w:val="0"/>
          <w:sz w:val="24"/>
          <w:highlight w:val="none"/>
        </w:rPr>
        <w:tab/>
      </w:r>
      <w:r>
        <w:rPr>
          <w:rFonts w:hint="eastAsia" w:ascii="宋体" w:hAnsi="宋体" w:eastAsia="宋体" w:cs="宋体"/>
          <w:b/>
          <w:bCs/>
          <w:kern w:val="0"/>
          <w:sz w:val="24"/>
          <w:highlight w:val="none"/>
        </w:rPr>
        <w:tab/>
      </w:r>
      <w:r>
        <w:rPr>
          <w:rFonts w:hint="eastAsia" w:ascii="宋体" w:hAnsi="宋体" w:eastAsia="宋体" w:cs="宋体"/>
          <w:b/>
          <w:bCs/>
          <w:kern w:val="0"/>
          <w:sz w:val="24"/>
          <w:highlight w:val="none"/>
        </w:rPr>
        <w:tab/>
      </w:r>
      <w:r>
        <w:rPr>
          <w:rFonts w:hint="eastAsia" w:ascii="宋体" w:hAnsi="宋体" w:eastAsia="宋体" w:cs="宋体"/>
          <w:b/>
          <w:bCs/>
          <w:kern w:val="0"/>
          <w:sz w:val="24"/>
          <w:highlight w:val="none"/>
        </w:rPr>
        <w:tab/>
      </w:r>
      <w:r>
        <w:rPr>
          <w:rFonts w:hint="eastAsia" w:ascii="宋体" w:hAnsi="宋体" w:eastAsia="宋体" w:cs="宋体"/>
          <w:b/>
          <w:bCs/>
          <w:kern w:val="0"/>
          <w:sz w:val="24"/>
          <w:highlight w:val="none"/>
        </w:rPr>
        <w:tab/>
      </w:r>
      <w:r>
        <w:rPr>
          <w:rFonts w:hint="eastAsia" w:ascii="宋体" w:hAnsi="宋体" w:eastAsia="宋体" w:cs="宋体"/>
          <w:b/>
          <w:bCs/>
          <w:kern w:val="0"/>
          <w:sz w:val="24"/>
          <w:highlight w:val="none"/>
        </w:rPr>
        <w:tab/>
      </w:r>
      <w:r>
        <w:rPr>
          <w:rFonts w:hint="eastAsia" w:ascii="宋体" w:hAnsi="宋体" w:eastAsia="宋体" w:cs="宋体"/>
          <w:b/>
          <w:bCs/>
          <w:kern w:val="0"/>
          <w:sz w:val="24"/>
          <w:highlight w:val="none"/>
        </w:rPr>
        <w:tab/>
      </w:r>
      <w:r>
        <w:rPr>
          <w:rFonts w:hint="eastAsia" w:ascii="宋体" w:hAnsi="宋体" w:eastAsia="宋体" w:cs="宋体"/>
          <w:b/>
          <w:bCs/>
          <w:kern w:val="0"/>
          <w:sz w:val="24"/>
          <w:highlight w:val="none"/>
        </w:rPr>
        <w:t xml:space="preserve">                </w:t>
      </w:r>
    </w:p>
    <w:tbl>
      <w:tblPr>
        <w:tblStyle w:val="14"/>
        <w:tblW w:w="91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0"/>
        <w:gridCol w:w="1080"/>
        <w:gridCol w:w="540"/>
        <w:gridCol w:w="2340"/>
        <w:gridCol w:w="953"/>
        <w:gridCol w:w="720"/>
        <w:gridCol w:w="847"/>
        <w:gridCol w:w="1440"/>
        <w:gridCol w:w="720"/>
      </w:tblGrid>
      <w:tr w14:paraId="18897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1" w:hRule="atLeast"/>
        </w:trPr>
        <w:tc>
          <w:tcPr>
            <w:tcW w:w="540" w:type="dxa"/>
            <w:vAlign w:val="center"/>
          </w:tcPr>
          <w:p w14:paraId="185C0B1D">
            <w:pPr>
              <w:autoSpaceDE w:val="0"/>
              <w:autoSpaceDN w:val="0"/>
              <w:jc w:val="center"/>
              <w:rPr>
                <w:rFonts w:ascii="宋体" w:hAnsi="宋体" w:eastAsia="宋体" w:cs="宋体"/>
                <w:kern w:val="0"/>
                <w:sz w:val="24"/>
                <w:highlight w:val="none"/>
              </w:rPr>
            </w:pPr>
            <w:r>
              <w:rPr>
                <w:rFonts w:hint="eastAsia" w:ascii="宋体" w:hAnsi="宋体" w:eastAsia="宋体" w:cs="宋体"/>
                <w:kern w:val="0"/>
                <w:sz w:val="24"/>
                <w:highlight w:val="none"/>
              </w:rPr>
              <w:t>序号</w:t>
            </w:r>
          </w:p>
        </w:tc>
        <w:tc>
          <w:tcPr>
            <w:tcW w:w="1080" w:type="dxa"/>
            <w:vAlign w:val="center"/>
          </w:tcPr>
          <w:p w14:paraId="1E2322FE">
            <w:pPr>
              <w:autoSpaceDE w:val="0"/>
              <w:autoSpaceDN w:val="0"/>
              <w:jc w:val="center"/>
              <w:rPr>
                <w:rFonts w:ascii="宋体" w:hAnsi="宋体" w:eastAsia="宋体" w:cs="宋体"/>
                <w:kern w:val="0"/>
                <w:sz w:val="24"/>
                <w:highlight w:val="none"/>
              </w:rPr>
            </w:pPr>
            <w:r>
              <w:rPr>
                <w:rFonts w:hint="eastAsia" w:ascii="宋体" w:hAnsi="宋体" w:eastAsia="宋体" w:cs="宋体"/>
                <w:kern w:val="0"/>
                <w:sz w:val="24"/>
                <w:highlight w:val="none"/>
              </w:rPr>
              <w:t>姓名</w:t>
            </w:r>
          </w:p>
        </w:tc>
        <w:tc>
          <w:tcPr>
            <w:tcW w:w="540" w:type="dxa"/>
            <w:vAlign w:val="center"/>
          </w:tcPr>
          <w:p w14:paraId="45021A61">
            <w:pPr>
              <w:autoSpaceDE w:val="0"/>
              <w:autoSpaceDN w:val="0"/>
              <w:jc w:val="center"/>
              <w:rPr>
                <w:rFonts w:ascii="宋体" w:hAnsi="宋体" w:eastAsia="宋体" w:cs="宋体"/>
                <w:kern w:val="0"/>
                <w:sz w:val="24"/>
                <w:highlight w:val="none"/>
              </w:rPr>
            </w:pPr>
            <w:r>
              <w:rPr>
                <w:rFonts w:hint="eastAsia" w:ascii="宋体" w:hAnsi="宋体" w:eastAsia="宋体" w:cs="宋体"/>
                <w:kern w:val="0"/>
                <w:sz w:val="24"/>
                <w:highlight w:val="none"/>
              </w:rPr>
              <w:t>性别</w:t>
            </w:r>
          </w:p>
        </w:tc>
        <w:tc>
          <w:tcPr>
            <w:tcW w:w="2340" w:type="dxa"/>
            <w:vAlign w:val="center"/>
          </w:tcPr>
          <w:p w14:paraId="7CBAC63D">
            <w:pPr>
              <w:autoSpaceDE w:val="0"/>
              <w:autoSpaceDN w:val="0"/>
              <w:jc w:val="center"/>
              <w:rPr>
                <w:rFonts w:ascii="宋体" w:hAnsi="宋体" w:eastAsia="宋体" w:cs="宋体"/>
                <w:kern w:val="0"/>
                <w:sz w:val="24"/>
                <w:highlight w:val="none"/>
              </w:rPr>
            </w:pPr>
            <w:r>
              <w:rPr>
                <w:rFonts w:hint="eastAsia" w:ascii="宋体" w:hAnsi="宋体" w:eastAsia="宋体" w:cs="宋体"/>
                <w:kern w:val="0"/>
                <w:sz w:val="24"/>
                <w:highlight w:val="none"/>
              </w:rPr>
              <w:t>身份证号码</w:t>
            </w:r>
          </w:p>
        </w:tc>
        <w:tc>
          <w:tcPr>
            <w:tcW w:w="953" w:type="dxa"/>
            <w:vAlign w:val="center"/>
          </w:tcPr>
          <w:p w14:paraId="24540B8C">
            <w:pPr>
              <w:autoSpaceDE w:val="0"/>
              <w:autoSpaceDN w:val="0"/>
              <w:jc w:val="center"/>
              <w:rPr>
                <w:rFonts w:ascii="宋体" w:hAnsi="宋体" w:eastAsia="宋体" w:cs="宋体"/>
                <w:kern w:val="0"/>
                <w:sz w:val="24"/>
                <w:highlight w:val="none"/>
              </w:rPr>
            </w:pPr>
            <w:r>
              <w:rPr>
                <w:rFonts w:hint="eastAsia" w:ascii="宋体" w:hAnsi="宋体" w:eastAsia="宋体" w:cs="宋体"/>
                <w:kern w:val="0"/>
                <w:sz w:val="24"/>
                <w:highlight w:val="none"/>
              </w:rPr>
              <w:t>职务</w:t>
            </w:r>
          </w:p>
        </w:tc>
        <w:tc>
          <w:tcPr>
            <w:tcW w:w="720" w:type="dxa"/>
            <w:vAlign w:val="center"/>
          </w:tcPr>
          <w:p w14:paraId="474BB73A">
            <w:pPr>
              <w:autoSpaceDE w:val="0"/>
              <w:autoSpaceDN w:val="0"/>
              <w:jc w:val="center"/>
              <w:rPr>
                <w:rFonts w:ascii="宋体" w:hAnsi="宋体" w:eastAsia="宋体" w:cs="宋体"/>
                <w:kern w:val="0"/>
                <w:sz w:val="24"/>
                <w:highlight w:val="none"/>
              </w:rPr>
            </w:pPr>
            <w:r>
              <w:rPr>
                <w:rFonts w:hint="eastAsia" w:ascii="宋体" w:hAnsi="宋体" w:eastAsia="宋体" w:cs="宋体"/>
                <w:kern w:val="0"/>
                <w:sz w:val="24"/>
                <w:highlight w:val="none"/>
              </w:rPr>
              <w:t>职称</w:t>
            </w:r>
          </w:p>
        </w:tc>
        <w:tc>
          <w:tcPr>
            <w:tcW w:w="847" w:type="dxa"/>
            <w:vAlign w:val="center"/>
          </w:tcPr>
          <w:p w14:paraId="3EC0FCD8">
            <w:pPr>
              <w:autoSpaceDE w:val="0"/>
              <w:autoSpaceDN w:val="0"/>
              <w:jc w:val="center"/>
              <w:rPr>
                <w:rFonts w:ascii="宋体" w:hAnsi="宋体" w:eastAsia="宋体" w:cs="宋体"/>
                <w:kern w:val="0"/>
                <w:sz w:val="24"/>
                <w:highlight w:val="none"/>
              </w:rPr>
            </w:pPr>
            <w:r>
              <w:rPr>
                <w:rFonts w:hint="eastAsia" w:ascii="宋体" w:hAnsi="宋体" w:eastAsia="宋体" w:cs="宋体"/>
                <w:kern w:val="0"/>
                <w:sz w:val="24"/>
                <w:highlight w:val="none"/>
              </w:rPr>
              <w:t>专业</w:t>
            </w:r>
          </w:p>
        </w:tc>
        <w:tc>
          <w:tcPr>
            <w:tcW w:w="1440" w:type="dxa"/>
            <w:vAlign w:val="center"/>
          </w:tcPr>
          <w:p w14:paraId="0CB0BCF8">
            <w:pPr>
              <w:autoSpaceDE w:val="0"/>
              <w:autoSpaceDN w:val="0"/>
              <w:jc w:val="center"/>
              <w:rPr>
                <w:rFonts w:ascii="宋体" w:hAnsi="宋体" w:eastAsia="宋体" w:cs="宋体"/>
                <w:kern w:val="0"/>
                <w:sz w:val="24"/>
                <w:highlight w:val="none"/>
              </w:rPr>
            </w:pPr>
            <w:r>
              <w:rPr>
                <w:rFonts w:hint="eastAsia" w:ascii="宋体" w:hAnsi="宋体" w:eastAsia="宋体" w:cs="宋体"/>
                <w:kern w:val="0"/>
                <w:sz w:val="24"/>
                <w:highlight w:val="none"/>
              </w:rPr>
              <w:t>岗位证编号</w:t>
            </w:r>
          </w:p>
        </w:tc>
        <w:tc>
          <w:tcPr>
            <w:tcW w:w="720" w:type="dxa"/>
            <w:vAlign w:val="center"/>
          </w:tcPr>
          <w:p w14:paraId="734E290B">
            <w:pPr>
              <w:autoSpaceDE w:val="0"/>
              <w:autoSpaceDN w:val="0"/>
              <w:jc w:val="center"/>
              <w:rPr>
                <w:rFonts w:ascii="宋体" w:hAnsi="宋体" w:eastAsia="宋体" w:cs="宋体"/>
                <w:kern w:val="0"/>
                <w:sz w:val="24"/>
                <w:highlight w:val="none"/>
              </w:rPr>
            </w:pPr>
            <w:r>
              <w:rPr>
                <w:rFonts w:hint="eastAsia" w:ascii="宋体" w:hAnsi="宋体" w:eastAsia="宋体" w:cs="宋体"/>
                <w:kern w:val="0"/>
                <w:sz w:val="24"/>
                <w:highlight w:val="none"/>
              </w:rPr>
              <w:t>备注</w:t>
            </w:r>
          </w:p>
        </w:tc>
      </w:tr>
      <w:tr w14:paraId="57B3B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vAlign w:val="center"/>
          </w:tcPr>
          <w:p w14:paraId="6CE51558">
            <w:pPr>
              <w:autoSpaceDE w:val="0"/>
              <w:autoSpaceDN w:val="0"/>
              <w:jc w:val="center"/>
              <w:rPr>
                <w:rFonts w:ascii="宋体" w:hAnsi="宋体" w:cs="宋体"/>
                <w:kern w:val="0"/>
                <w:sz w:val="24"/>
                <w:highlight w:val="none"/>
              </w:rPr>
            </w:pPr>
          </w:p>
        </w:tc>
        <w:tc>
          <w:tcPr>
            <w:tcW w:w="1080" w:type="dxa"/>
            <w:vAlign w:val="center"/>
          </w:tcPr>
          <w:p w14:paraId="2B70C9E8">
            <w:pPr>
              <w:autoSpaceDE w:val="0"/>
              <w:autoSpaceDN w:val="0"/>
              <w:jc w:val="center"/>
              <w:rPr>
                <w:rFonts w:ascii="宋体" w:hAnsi="宋体" w:cs="宋体"/>
                <w:kern w:val="0"/>
                <w:sz w:val="24"/>
                <w:highlight w:val="none"/>
              </w:rPr>
            </w:pPr>
          </w:p>
        </w:tc>
        <w:tc>
          <w:tcPr>
            <w:tcW w:w="540" w:type="dxa"/>
            <w:vAlign w:val="center"/>
          </w:tcPr>
          <w:p w14:paraId="20FE835A">
            <w:pPr>
              <w:autoSpaceDE w:val="0"/>
              <w:autoSpaceDN w:val="0"/>
              <w:jc w:val="center"/>
              <w:rPr>
                <w:rFonts w:ascii="宋体" w:hAnsi="宋体" w:cs="宋体"/>
                <w:kern w:val="0"/>
                <w:sz w:val="24"/>
                <w:highlight w:val="none"/>
              </w:rPr>
            </w:pPr>
          </w:p>
        </w:tc>
        <w:tc>
          <w:tcPr>
            <w:tcW w:w="2340" w:type="dxa"/>
            <w:vAlign w:val="center"/>
          </w:tcPr>
          <w:p w14:paraId="5F01E4C4">
            <w:pPr>
              <w:autoSpaceDE w:val="0"/>
              <w:autoSpaceDN w:val="0"/>
              <w:jc w:val="center"/>
              <w:rPr>
                <w:rFonts w:ascii="宋体" w:hAnsi="宋体" w:cs="宋体"/>
                <w:kern w:val="0"/>
                <w:sz w:val="24"/>
                <w:highlight w:val="none"/>
              </w:rPr>
            </w:pPr>
          </w:p>
        </w:tc>
        <w:tc>
          <w:tcPr>
            <w:tcW w:w="953" w:type="dxa"/>
            <w:vAlign w:val="center"/>
          </w:tcPr>
          <w:p w14:paraId="66B22192">
            <w:pPr>
              <w:autoSpaceDE w:val="0"/>
              <w:autoSpaceDN w:val="0"/>
              <w:jc w:val="center"/>
              <w:rPr>
                <w:rFonts w:ascii="宋体" w:hAnsi="宋体" w:cs="宋体"/>
                <w:kern w:val="0"/>
                <w:sz w:val="24"/>
                <w:highlight w:val="none"/>
              </w:rPr>
            </w:pPr>
          </w:p>
        </w:tc>
        <w:tc>
          <w:tcPr>
            <w:tcW w:w="720" w:type="dxa"/>
            <w:vAlign w:val="center"/>
          </w:tcPr>
          <w:p w14:paraId="5ABECD3B">
            <w:pPr>
              <w:autoSpaceDE w:val="0"/>
              <w:autoSpaceDN w:val="0"/>
              <w:jc w:val="center"/>
              <w:rPr>
                <w:rFonts w:ascii="宋体" w:hAnsi="宋体" w:cs="宋体"/>
                <w:kern w:val="0"/>
                <w:sz w:val="24"/>
                <w:highlight w:val="none"/>
              </w:rPr>
            </w:pPr>
          </w:p>
        </w:tc>
        <w:tc>
          <w:tcPr>
            <w:tcW w:w="847" w:type="dxa"/>
            <w:vAlign w:val="center"/>
          </w:tcPr>
          <w:p w14:paraId="64D43F8D">
            <w:pPr>
              <w:autoSpaceDE w:val="0"/>
              <w:autoSpaceDN w:val="0"/>
              <w:jc w:val="center"/>
              <w:rPr>
                <w:rFonts w:ascii="宋体" w:hAnsi="宋体" w:cs="宋体"/>
                <w:kern w:val="0"/>
                <w:sz w:val="24"/>
                <w:highlight w:val="none"/>
              </w:rPr>
            </w:pPr>
          </w:p>
        </w:tc>
        <w:tc>
          <w:tcPr>
            <w:tcW w:w="1440" w:type="dxa"/>
            <w:vAlign w:val="center"/>
          </w:tcPr>
          <w:p w14:paraId="3D96EC60">
            <w:pPr>
              <w:autoSpaceDE w:val="0"/>
              <w:autoSpaceDN w:val="0"/>
              <w:jc w:val="center"/>
              <w:rPr>
                <w:rFonts w:ascii="宋体" w:hAnsi="宋体" w:cs="宋体"/>
                <w:kern w:val="0"/>
                <w:sz w:val="24"/>
                <w:highlight w:val="none"/>
              </w:rPr>
            </w:pPr>
          </w:p>
        </w:tc>
        <w:tc>
          <w:tcPr>
            <w:tcW w:w="720" w:type="dxa"/>
            <w:vAlign w:val="center"/>
          </w:tcPr>
          <w:p w14:paraId="61F6E4C8">
            <w:pPr>
              <w:autoSpaceDE w:val="0"/>
              <w:autoSpaceDN w:val="0"/>
              <w:jc w:val="center"/>
              <w:rPr>
                <w:rFonts w:ascii="宋体" w:hAnsi="宋体" w:cs="宋体"/>
                <w:kern w:val="0"/>
                <w:sz w:val="24"/>
                <w:highlight w:val="none"/>
              </w:rPr>
            </w:pPr>
          </w:p>
        </w:tc>
      </w:tr>
      <w:tr w14:paraId="681BE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vAlign w:val="center"/>
          </w:tcPr>
          <w:p w14:paraId="24BBE8A5">
            <w:pPr>
              <w:autoSpaceDE w:val="0"/>
              <w:autoSpaceDN w:val="0"/>
              <w:jc w:val="center"/>
              <w:rPr>
                <w:rFonts w:ascii="宋体" w:hAnsi="宋体" w:cs="宋体"/>
                <w:kern w:val="0"/>
                <w:sz w:val="24"/>
                <w:highlight w:val="none"/>
              </w:rPr>
            </w:pPr>
          </w:p>
        </w:tc>
        <w:tc>
          <w:tcPr>
            <w:tcW w:w="1080" w:type="dxa"/>
            <w:vAlign w:val="center"/>
          </w:tcPr>
          <w:p w14:paraId="57D8B93D">
            <w:pPr>
              <w:autoSpaceDE w:val="0"/>
              <w:autoSpaceDN w:val="0"/>
              <w:jc w:val="center"/>
              <w:rPr>
                <w:rFonts w:ascii="宋体" w:hAnsi="宋体" w:cs="宋体"/>
                <w:kern w:val="0"/>
                <w:sz w:val="24"/>
                <w:highlight w:val="none"/>
              </w:rPr>
            </w:pPr>
          </w:p>
        </w:tc>
        <w:tc>
          <w:tcPr>
            <w:tcW w:w="540" w:type="dxa"/>
            <w:vAlign w:val="center"/>
          </w:tcPr>
          <w:p w14:paraId="304734F3">
            <w:pPr>
              <w:autoSpaceDE w:val="0"/>
              <w:autoSpaceDN w:val="0"/>
              <w:jc w:val="center"/>
              <w:rPr>
                <w:rFonts w:ascii="宋体" w:hAnsi="宋体" w:cs="宋体"/>
                <w:kern w:val="0"/>
                <w:sz w:val="24"/>
                <w:highlight w:val="none"/>
              </w:rPr>
            </w:pPr>
          </w:p>
        </w:tc>
        <w:tc>
          <w:tcPr>
            <w:tcW w:w="2340" w:type="dxa"/>
            <w:vAlign w:val="center"/>
          </w:tcPr>
          <w:p w14:paraId="36C7154F">
            <w:pPr>
              <w:autoSpaceDE w:val="0"/>
              <w:autoSpaceDN w:val="0"/>
              <w:jc w:val="center"/>
              <w:rPr>
                <w:rFonts w:ascii="宋体" w:hAnsi="宋体" w:cs="宋体"/>
                <w:kern w:val="0"/>
                <w:sz w:val="24"/>
                <w:highlight w:val="none"/>
              </w:rPr>
            </w:pPr>
          </w:p>
        </w:tc>
        <w:tc>
          <w:tcPr>
            <w:tcW w:w="953" w:type="dxa"/>
            <w:vAlign w:val="center"/>
          </w:tcPr>
          <w:p w14:paraId="0E895909">
            <w:pPr>
              <w:autoSpaceDE w:val="0"/>
              <w:autoSpaceDN w:val="0"/>
              <w:jc w:val="center"/>
              <w:rPr>
                <w:rFonts w:ascii="宋体" w:hAnsi="宋体" w:cs="宋体"/>
                <w:kern w:val="0"/>
                <w:sz w:val="24"/>
                <w:highlight w:val="none"/>
              </w:rPr>
            </w:pPr>
          </w:p>
        </w:tc>
        <w:tc>
          <w:tcPr>
            <w:tcW w:w="720" w:type="dxa"/>
            <w:vAlign w:val="center"/>
          </w:tcPr>
          <w:p w14:paraId="46295FDF">
            <w:pPr>
              <w:autoSpaceDE w:val="0"/>
              <w:autoSpaceDN w:val="0"/>
              <w:jc w:val="center"/>
              <w:rPr>
                <w:rFonts w:ascii="宋体" w:hAnsi="宋体" w:cs="宋体"/>
                <w:kern w:val="0"/>
                <w:sz w:val="24"/>
                <w:highlight w:val="none"/>
              </w:rPr>
            </w:pPr>
          </w:p>
        </w:tc>
        <w:tc>
          <w:tcPr>
            <w:tcW w:w="847" w:type="dxa"/>
            <w:vAlign w:val="center"/>
          </w:tcPr>
          <w:p w14:paraId="3C4FD14B">
            <w:pPr>
              <w:autoSpaceDE w:val="0"/>
              <w:autoSpaceDN w:val="0"/>
              <w:jc w:val="center"/>
              <w:rPr>
                <w:rFonts w:ascii="宋体" w:hAnsi="宋体" w:cs="宋体"/>
                <w:kern w:val="0"/>
                <w:sz w:val="24"/>
                <w:highlight w:val="none"/>
              </w:rPr>
            </w:pPr>
          </w:p>
        </w:tc>
        <w:tc>
          <w:tcPr>
            <w:tcW w:w="1440" w:type="dxa"/>
            <w:vAlign w:val="center"/>
          </w:tcPr>
          <w:p w14:paraId="5D1CF792">
            <w:pPr>
              <w:autoSpaceDE w:val="0"/>
              <w:autoSpaceDN w:val="0"/>
              <w:jc w:val="center"/>
              <w:rPr>
                <w:rFonts w:ascii="宋体" w:hAnsi="宋体" w:cs="宋体"/>
                <w:kern w:val="0"/>
                <w:sz w:val="24"/>
                <w:highlight w:val="none"/>
              </w:rPr>
            </w:pPr>
          </w:p>
        </w:tc>
        <w:tc>
          <w:tcPr>
            <w:tcW w:w="720" w:type="dxa"/>
            <w:vAlign w:val="center"/>
          </w:tcPr>
          <w:p w14:paraId="3B528743">
            <w:pPr>
              <w:autoSpaceDE w:val="0"/>
              <w:autoSpaceDN w:val="0"/>
              <w:jc w:val="center"/>
              <w:rPr>
                <w:rFonts w:ascii="宋体" w:hAnsi="宋体" w:cs="宋体"/>
                <w:kern w:val="0"/>
                <w:sz w:val="24"/>
                <w:highlight w:val="none"/>
              </w:rPr>
            </w:pPr>
          </w:p>
        </w:tc>
      </w:tr>
      <w:tr w14:paraId="41E77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vAlign w:val="center"/>
          </w:tcPr>
          <w:p w14:paraId="12492E2C">
            <w:pPr>
              <w:autoSpaceDE w:val="0"/>
              <w:autoSpaceDN w:val="0"/>
              <w:jc w:val="center"/>
              <w:rPr>
                <w:rFonts w:ascii="宋体" w:hAnsi="宋体" w:cs="宋体"/>
                <w:kern w:val="0"/>
                <w:sz w:val="24"/>
                <w:highlight w:val="none"/>
              </w:rPr>
            </w:pPr>
          </w:p>
        </w:tc>
        <w:tc>
          <w:tcPr>
            <w:tcW w:w="1080" w:type="dxa"/>
            <w:vAlign w:val="center"/>
          </w:tcPr>
          <w:p w14:paraId="1C7D000A">
            <w:pPr>
              <w:autoSpaceDE w:val="0"/>
              <w:autoSpaceDN w:val="0"/>
              <w:jc w:val="center"/>
              <w:rPr>
                <w:rFonts w:ascii="宋体" w:hAnsi="宋体" w:cs="宋体"/>
                <w:kern w:val="0"/>
                <w:sz w:val="24"/>
                <w:highlight w:val="none"/>
              </w:rPr>
            </w:pPr>
          </w:p>
        </w:tc>
        <w:tc>
          <w:tcPr>
            <w:tcW w:w="540" w:type="dxa"/>
            <w:vAlign w:val="center"/>
          </w:tcPr>
          <w:p w14:paraId="02774000">
            <w:pPr>
              <w:autoSpaceDE w:val="0"/>
              <w:autoSpaceDN w:val="0"/>
              <w:jc w:val="center"/>
              <w:rPr>
                <w:rFonts w:ascii="宋体" w:hAnsi="宋体" w:cs="宋体"/>
                <w:kern w:val="0"/>
                <w:sz w:val="24"/>
                <w:highlight w:val="none"/>
              </w:rPr>
            </w:pPr>
          </w:p>
        </w:tc>
        <w:tc>
          <w:tcPr>
            <w:tcW w:w="2340" w:type="dxa"/>
            <w:vAlign w:val="center"/>
          </w:tcPr>
          <w:p w14:paraId="33DEF49A">
            <w:pPr>
              <w:autoSpaceDE w:val="0"/>
              <w:autoSpaceDN w:val="0"/>
              <w:jc w:val="center"/>
              <w:rPr>
                <w:rFonts w:ascii="宋体" w:hAnsi="宋体" w:cs="宋体"/>
                <w:kern w:val="0"/>
                <w:sz w:val="24"/>
                <w:highlight w:val="none"/>
              </w:rPr>
            </w:pPr>
          </w:p>
        </w:tc>
        <w:tc>
          <w:tcPr>
            <w:tcW w:w="953" w:type="dxa"/>
            <w:vAlign w:val="center"/>
          </w:tcPr>
          <w:p w14:paraId="0B5A7F0F">
            <w:pPr>
              <w:autoSpaceDE w:val="0"/>
              <w:autoSpaceDN w:val="0"/>
              <w:jc w:val="center"/>
              <w:rPr>
                <w:rFonts w:ascii="宋体" w:hAnsi="宋体" w:cs="宋体"/>
                <w:kern w:val="0"/>
                <w:sz w:val="24"/>
                <w:highlight w:val="none"/>
              </w:rPr>
            </w:pPr>
          </w:p>
        </w:tc>
        <w:tc>
          <w:tcPr>
            <w:tcW w:w="720" w:type="dxa"/>
            <w:vAlign w:val="center"/>
          </w:tcPr>
          <w:p w14:paraId="29C91507">
            <w:pPr>
              <w:autoSpaceDE w:val="0"/>
              <w:autoSpaceDN w:val="0"/>
              <w:jc w:val="center"/>
              <w:rPr>
                <w:rFonts w:ascii="宋体" w:hAnsi="宋体" w:cs="宋体"/>
                <w:kern w:val="0"/>
                <w:sz w:val="24"/>
                <w:highlight w:val="none"/>
              </w:rPr>
            </w:pPr>
          </w:p>
        </w:tc>
        <w:tc>
          <w:tcPr>
            <w:tcW w:w="847" w:type="dxa"/>
            <w:vAlign w:val="center"/>
          </w:tcPr>
          <w:p w14:paraId="22387853">
            <w:pPr>
              <w:autoSpaceDE w:val="0"/>
              <w:autoSpaceDN w:val="0"/>
              <w:jc w:val="center"/>
              <w:rPr>
                <w:rFonts w:ascii="宋体" w:hAnsi="宋体" w:cs="宋体"/>
                <w:kern w:val="0"/>
                <w:sz w:val="24"/>
                <w:highlight w:val="none"/>
              </w:rPr>
            </w:pPr>
          </w:p>
        </w:tc>
        <w:tc>
          <w:tcPr>
            <w:tcW w:w="1440" w:type="dxa"/>
            <w:vAlign w:val="center"/>
          </w:tcPr>
          <w:p w14:paraId="6B6CC644">
            <w:pPr>
              <w:autoSpaceDE w:val="0"/>
              <w:autoSpaceDN w:val="0"/>
              <w:jc w:val="center"/>
              <w:rPr>
                <w:rFonts w:ascii="宋体" w:hAnsi="宋体" w:cs="宋体"/>
                <w:kern w:val="0"/>
                <w:sz w:val="24"/>
                <w:highlight w:val="none"/>
              </w:rPr>
            </w:pPr>
          </w:p>
        </w:tc>
        <w:tc>
          <w:tcPr>
            <w:tcW w:w="720" w:type="dxa"/>
            <w:vAlign w:val="center"/>
          </w:tcPr>
          <w:p w14:paraId="46FF0ECC">
            <w:pPr>
              <w:autoSpaceDE w:val="0"/>
              <w:autoSpaceDN w:val="0"/>
              <w:jc w:val="center"/>
              <w:rPr>
                <w:rFonts w:ascii="宋体" w:hAnsi="宋体" w:cs="宋体"/>
                <w:kern w:val="0"/>
                <w:sz w:val="24"/>
                <w:highlight w:val="none"/>
              </w:rPr>
            </w:pPr>
          </w:p>
        </w:tc>
      </w:tr>
      <w:tr w14:paraId="2084B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vAlign w:val="center"/>
          </w:tcPr>
          <w:p w14:paraId="67EA2A89">
            <w:pPr>
              <w:autoSpaceDE w:val="0"/>
              <w:autoSpaceDN w:val="0"/>
              <w:jc w:val="center"/>
              <w:rPr>
                <w:rFonts w:ascii="宋体" w:hAnsi="宋体" w:cs="宋体"/>
                <w:kern w:val="0"/>
                <w:sz w:val="24"/>
                <w:highlight w:val="none"/>
              </w:rPr>
            </w:pPr>
          </w:p>
        </w:tc>
        <w:tc>
          <w:tcPr>
            <w:tcW w:w="1080" w:type="dxa"/>
            <w:vAlign w:val="center"/>
          </w:tcPr>
          <w:p w14:paraId="1D6EBA8A">
            <w:pPr>
              <w:autoSpaceDE w:val="0"/>
              <w:autoSpaceDN w:val="0"/>
              <w:jc w:val="center"/>
              <w:rPr>
                <w:rFonts w:ascii="宋体" w:hAnsi="宋体" w:cs="宋体"/>
                <w:kern w:val="0"/>
                <w:sz w:val="24"/>
                <w:highlight w:val="none"/>
              </w:rPr>
            </w:pPr>
          </w:p>
        </w:tc>
        <w:tc>
          <w:tcPr>
            <w:tcW w:w="540" w:type="dxa"/>
            <w:vAlign w:val="center"/>
          </w:tcPr>
          <w:p w14:paraId="3BF701C5">
            <w:pPr>
              <w:autoSpaceDE w:val="0"/>
              <w:autoSpaceDN w:val="0"/>
              <w:jc w:val="center"/>
              <w:rPr>
                <w:rFonts w:ascii="宋体" w:hAnsi="宋体" w:cs="宋体"/>
                <w:kern w:val="0"/>
                <w:sz w:val="24"/>
                <w:highlight w:val="none"/>
              </w:rPr>
            </w:pPr>
          </w:p>
        </w:tc>
        <w:tc>
          <w:tcPr>
            <w:tcW w:w="2340" w:type="dxa"/>
            <w:vAlign w:val="center"/>
          </w:tcPr>
          <w:p w14:paraId="0E0BC0E8">
            <w:pPr>
              <w:autoSpaceDE w:val="0"/>
              <w:autoSpaceDN w:val="0"/>
              <w:jc w:val="center"/>
              <w:rPr>
                <w:rFonts w:ascii="宋体" w:hAnsi="宋体" w:cs="宋体"/>
                <w:kern w:val="0"/>
                <w:sz w:val="24"/>
                <w:highlight w:val="none"/>
              </w:rPr>
            </w:pPr>
          </w:p>
        </w:tc>
        <w:tc>
          <w:tcPr>
            <w:tcW w:w="953" w:type="dxa"/>
            <w:vAlign w:val="center"/>
          </w:tcPr>
          <w:p w14:paraId="73F42BB1">
            <w:pPr>
              <w:autoSpaceDE w:val="0"/>
              <w:autoSpaceDN w:val="0"/>
              <w:jc w:val="center"/>
              <w:rPr>
                <w:rFonts w:ascii="宋体" w:hAnsi="宋体" w:cs="宋体"/>
                <w:kern w:val="0"/>
                <w:sz w:val="24"/>
                <w:highlight w:val="none"/>
              </w:rPr>
            </w:pPr>
          </w:p>
        </w:tc>
        <w:tc>
          <w:tcPr>
            <w:tcW w:w="720" w:type="dxa"/>
            <w:vAlign w:val="center"/>
          </w:tcPr>
          <w:p w14:paraId="793D13F7">
            <w:pPr>
              <w:autoSpaceDE w:val="0"/>
              <w:autoSpaceDN w:val="0"/>
              <w:jc w:val="center"/>
              <w:rPr>
                <w:rFonts w:ascii="宋体" w:hAnsi="宋体" w:cs="宋体"/>
                <w:kern w:val="0"/>
                <w:sz w:val="24"/>
                <w:highlight w:val="none"/>
              </w:rPr>
            </w:pPr>
          </w:p>
        </w:tc>
        <w:tc>
          <w:tcPr>
            <w:tcW w:w="847" w:type="dxa"/>
            <w:vAlign w:val="center"/>
          </w:tcPr>
          <w:p w14:paraId="3733F5E0">
            <w:pPr>
              <w:autoSpaceDE w:val="0"/>
              <w:autoSpaceDN w:val="0"/>
              <w:jc w:val="center"/>
              <w:rPr>
                <w:rFonts w:ascii="宋体" w:hAnsi="宋体" w:cs="宋体"/>
                <w:kern w:val="0"/>
                <w:sz w:val="24"/>
                <w:highlight w:val="none"/>
              </w:rPr>
            </w:pPr>
          </w:p>
        </w:tc>
        <w:tc>
          <w:tcPr>
            <w:tcW w:w="1440" w:type="dxa"/>
            <w:vAlign w:val="center"/>
          </w:tcPr>
          <w:p w14:paraId="5F6C51B0">
            <w:pPr>
              <w:autoSpaceDE w:val="0"/>
              <w:autoSpaceDN w:val="0"/>
              <w:jc w:val="center"/>
              <w:rPr>
                <w:rFonts w:ascii="宋体" w:hAnsi="宋体" w:cs="宋体"/>
                <w:kern w:val="0"/>
                <w:sz w:val="24"/>
                <w:highlight w:val="none"/>
              </w:rPr>
            </w:pPr>
          </w:p>
        </w:tc>
        <w:tc>
          <w:tcPr>
            <w:tcW w:w="720" w:type="dxa"/>
            <w:vAlign w:val="center"/>
          </w:tcPr>
          <w:p w14:paraId="5986B96F">
            <w:pPr>
              <w:autoSpaceDE w:val="0"/>
              <w:autoSpaceDN w:val="0"/>
              <w:jc w:val="center"/>
              <w:rPr>
                <w:rFonts w:ascii="宋体" w:hAnsi="宋体" w:cs="宋体"/>
                <w:kern w:val="0"/>
                <w:sz w:val="24"/>
                <w:highlight w:val="none"/>
              </w:rPr>
            </w:pPr>
          </w:p>
        </w:tc>
      </w:tr>
      <w:tr w14:paraId="25074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vAlign w:val="center"/>
          </w:tcPr>
          <w:p w14:paraId="1DA468E6">
            <w:pPr>
              <w:autoSpaceDE w:val="0"/>
              <w:autoSpaceDN w:val="0"/>
              <w:jc w:val="center"/>
              <w:rPr>
                <w:rFonts w:ascii="宋体" w:hAnsi="宋体" w:cs="宋体"/>
                <w:kern w:val="0"/>
                <w:sz w:val="24"/>
                <w:highlight w:val="none"/>
              </w:rPr>
            </w:pPr>
          </w:p>
        </w:tc>
        <w:tc>
          <w:tcPr>
            <w:tcW w:w="1080" w:type="dxa"/>
            <w:vAlign w:val="center"/>
          </w:tcPr>
          <w:p w14:paraId="4758F7FA">
            <w:pPr>
              <w:autoSpaceDE w:val="0"/>
              <w:autoSpaceDN w:val="0"/>
              <w:jc w:val="center"/>
              <w:rPr>
                <w:rFonts w:ascii="宋体" w:hAnsi="宋体" w:cs="宋体"/>
                <w:kern w:val="0"/>
                <w:sz w:val="24"/>
                <w:highlight w:val="none"/>
              </w:rPr>
            </w:pPr>
          </w:p>
        </w:tc>
        <w:tc>
          <w:tcPr>
            <w:tcW w:w="540" w:type="dxa"/>
            <w:vAlign w:val="center"/>
          </w:tcPr>
          <w:p w14:paraId="3B2E030B">
            <w:pPr>
              <w:autoSpaceDE w:val="0"/>
              <w:autoSpaceDN w:val="0"/>
              <w:jc w:val="center"/>
              <w:rPr>
                <w:rFonts w:ascii="宋体" w:hAnsi="宋体" w:cs="宋体"/>
                <w:kern w:val="0"/>
                <w:sz w:val="24"/>
                <w:highlight w:val="none"/>
              </w:rPr>
            </w:pPr>
          </w:p>
        </w:tc>
        <w:tc>
          <w:tcPr>
            <w:tcW w:w="2340" w:type="dxa"/>
            <w:vAlign w:val="center"/>
          </w:tcPr>
          <w:p w14:paraId="6F3792F0">
            <w:pPr>
              <w:autoSpaceDE w:val="0"/>
              <w:autoSpaceDN w:val="0"/>
              <w:jc w:val="center"/>
              <w:rPr>
                <w:rFonts w:ascii="宋体" w:hAnsi="宋体" w:cs="宋体"/>
                <w:kern w:val="0"/>
                <w:sz w:val="24"/>
                <w:highlight w:val="none"/>
              </w:rPr>
            </w:pPr>
          </w:p>
        </w:tc>
        <w:tc>
          <w:tcPr>
            <w:tcW w:w="953" w:type="dxa"/>
            <w:vAlign w:val="center"/>
          </w:tcPr>
          <w:p w14:paraId="420CE824">
            <w:pPr>
              <w:autoSpaceDE w:val="0"/>
              <w:autoSpaceDN w:val="0"/>
              <w:jc w:val="center"/>
              <w:rPr>
                <w:rFonts w:ascii="宋体" w:hAnsi="宋体" w:cs="宋体"/>
                <w:kern w:val="0"/>
                <w:sz w:val="24"/>
                <w:highlight w:val="none"/>
              </w:rPr>
            </w:pPr>
          </w:p>
        </w:tc>
        <w:tc>
          <w:tcPr>
            <w:tcW w:w="720" w:type="dxa"/>
            <w:vAlign w:val="center"/>
          </w:tcPr>
          <w:p w14:paraId="043276BD">
            <w:pPr>
              <w:autoSpaceDE w:val="0"/>
              <w:autoSpaceDN w:val="0"/>
              <w:jc w:val="center"/>
              <w:rPr>
                <w:rFonts w:ascii="宋体" w:hAnsi="宋体" w:cs="宋体"/>
                <w:kern w:val="0"/>
                <w:sz w:val="24"/>
                <w:highlight w:val="none"/>
              </w:rPr>
            </w:pPr>
          </w:p>
        </w:tc>
        <w:tc>
          <w:tcPr>
            <w:tcW w:w="847" w:type="dxa"/>
            <w:vAlign w:val="center"/>
          </w:tcPr>
          <w:p w14:paraId="1F01D2FB">
            <w:pPr>
              <w:autoSpaceDE w:val="0"/>
              <w:autoSpaceDN w:val="0"/>
              <w:jc w:val="center"/>
              <w:rPr>
                <w:rFonts w:ascii="宋体" w:hAnsi="宋体" w:cs="宋体"/>
                <w:kern w:val="0"/>
                <w:sz w:val="24"/>
                <w:highlight w:val="none"/>
              </w:rPr>
            </w:pPr>
          </w:p>
        </w:tc>
        <w:tc>
          <w:tcPr>
            <w:tcW w:w="1440" w:type="dxa"/>
            <w:vAlign w:val="center"/>
          </w:tcPr>
          <w:p w14:paraId="2407A201">
            <w:pPr>
              <w:autoSpaceDE w:val="0"/>
              <w:autoSpaceDN w:val="0"/>
              <w:jc w:val="center"/>
              <w:rPr>
                <w:rFonts w:ascii="宋体" w:hAnsi="宋体" w:cs="宋体"/>
                <w:kern w:val="0"/>
                <w:sz w:val="24"/>
                <w:highlight w:val="none"/>
              </w:rPr>
            </w:pPr>
          </w:p>
        </w:tc>
        <w:tc>
          <w:tcPr>
            <w:tcW w:w="720" w:type="dxa"/>
            <w:vAlign w:val="center"/>
          </w:tcPr>
          <w:p w14:paraId="53DECA64">
            <w:pPr>
              <w:autoSpaceDE w:val="0"/>
              <w:autoSpaceDN w:val="0"/>
              <w:jc w:val="center"/>
              <w:rPr>
                <w:rFonts w:ascii="宋体" w:hAnsi="宋体" w:cs="宋体"/>
                <w:kern w:val="0"/>
                <w:sz w:val="24"/>
                <w:highlight w:val="none"/>
              </w:rPr>
            </w:pPr>
          </w:p>
        </w:tc>
      </w:tr>
      <w:tr w14:paraId="154C6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vAlign w:val="center"/>
          </w:tcPr>
          <w:p w14:paraId="23A8FCC6">
            <w:pPr>
              <w:autoSpaceDE w:val="0"/>
              <w:autoSpaceDN w:val="0"/>
              <w:jc w:val="center"/>
              <w:rPr>
                <w:rFonts w:ascii="宋体" w:hAnsi="宋体" w:cs="宋体"/>
                <w:kern w:val="0"/>
                <w:sz w:val="24"/>
                <w:highlight w:val="none"/>
              </w:rPr>
            </w:pPr>
          </w:p>
        </w:tc>
        <w:tc>
          <w:tcPr>
            <w:tcW w:w="1080" w:type="dxa"/>
            <w:vAlign w:val="center"/>
          </w:tcPr>
          <w:p w14:paraId="24F603D6">
            <w:pPr>
              <w:autoSpaceDE w:val="0"/>
              <w:autoSpaceDN w:val="0"/>
              <w:jc w:val="center"/>
              <w:rPr>
                <w:rFonts w:ascii="宋体" w:hAnsi="宋体" w:cs="宋体"/>
                <w:kern w:val="0"/>
                <w:sz w:val="24"/>
                <w:highlight w:val="none"/>
              </w:rPr>
            </w:pPr>
          </w:p>
        </w:tc>
        <w:tc>
          <w:tcPr>
            <w:tcW w:w="540" w:type="dxa"/>
            <w:vAlign w:val="center"/>
          </w:tcPr>
          <w:p w14:paraId="0CFDDC4C">
            <w:pPr>
              <w:autoSpaceDE w:val="0"/>
              <w:autoSpaceDN w:val="0"/>
              <w:jc w:val="center"/>
              <w:rPr>
                <w:rFonts w:ascii="宋体" w:hAnsi="宋体" w:cs="宋体"/>
                <w:kern w:val="0"/>
                <w:sz w:val="24"/>
                <w:highlight w:val="none"/>
              </w:rPr>
            </w:pPr>
          </w:p>
        </w:tc>
        <w:tc>
          <w:tcPr>
            <w:tcW w:w="2340" w:type="dxa"/>
            <w:vAlign w:val="center"/>
          </w:tcPr>
          <w:p w14:paraId="01F901E4">
            <w:pPr>
              <w:autoSpaceDE w:val="0"/>
              <w:autoSpaceDN w:val="0"/>
              <w:jc w:val="center"/>
              <w:rPr>
                <w:rFonts w:ascii="宋体" w:hAnsi="宋体" w:cs="宋体"/>
                <w:kern w:val="0"/>
                <w:sz w:val="24"/>
                <w:highlight w:val="none"/>
              </w:rPr>
            </w:pPr>
          </w:p>
        </w:tc>
        <w:tc>
          <w:tcPr>
            <w:tcW w:w="953" w:type="dxa"/>
            <w:vAlign w:val="center"/>
          </w:tcPr>
          <w:p w14:paraId="48CA36BC">
            <w:pPr>
              <w:autoSpaceDE w:val="0"/>
              <w:autoSpaceDN w:val="0"/>
              <w:jc w:val="center"/>
              <w:rPr>
                <w:rFonts w:ascii="宋体" w:hAnsi="宋体" w:cs="宋体"/>
                <w:kern w:val="0"/>
                <w:sz w:val="24"/>
                <w:highlight w:val="none"/>
              </w:rPr>
            </w:pPr>
          </w:p>
        </w:tc>
        <w:tc>
          <w:tcPr>
            <w:tcW w:w="720" w:type="dxa"/>
            <w:vAlign w:val="center"/>
          </w:tcPr>
          <w:p w14:paraId="10A298E7">
            <w:pPr>
              <w:autoSpaceDE w:val="0"/>
              <w:autoSpaceDN w:val="0"/>
              <w:jc w:val="center"/>
              <w:rPr>
                <w:rFonts w:ascii="宋体" w:hAnsi="宋体" w:cs="宋体"/>
                <w:kern w:val="0"/>
                <w:sz w:val="24"/>
                <w:highlight w:val="none"/>
              </w:rPr>
            </w:pPr>
          </w:p>
        </w:tc>
        <w:tc>
          <w:tcPr>
            <w:tcW w:w="847" w:type="dxa"/>
            <w:vAlign w:val="center"/>
          </w:tcPr>
          <w:p w14:paraId="48D08ECA">
            <w:pPr>
              <w:autoSpaceDE w:val="0"/>
              <w:autoSpaceDN w:val="0"/>
              <w:jc w:val="center"/>
              <w:rPr>
                <w:rFonts w:ascii="宋体" w:hAnsi="宋体" w:cs="宋体"/>
                <w:kern w:val="0"/>
                <w:sz w:val="24"/>
                <w:highlight w:val="none"/>
              </w:rPr>
            </w:pPr>
          </w:p>
        </w:tc>
        <w:tc>
          <w:tcPr>
            <w:tcW w:w="1440" w:type="dxa"/>
            <w:vAlign w:val="center"/>
          </w:tcPr>
          <w:p w14:paraId="0402B00E">
            <w:pPr>
              <w:autoSpaceDE w:val="0"/>
              <w:autoSpaceDN w:val="0"/>
              <w:jc w:val="center"/>
              <w:rPr>
                <w:rFonts w:ascii="宋体" w:hAnsi="宋体" w:cs="宋体"/>
                <w:kern w:val="0"/>
                <w:sz w:val="24"/>
                <w:highlight w:val="none"/>
              </w:rPr>
            </w:pPr>
          </w:p>
        </w:tc>
        <w:tc>
          <w:tcPr>
            <w:tcW w:w="720" w:type="dxa"/>
            <w:vAlign w:val="center"/>
          </w:tcPr>
          <w:p w14:paraId="7628C64D">
            <w:pPr>
              <w:autoSpaceDE w:val="0"/>
              <w:autoSpaceDN w:val="0"/>
              <w:jc w:val="center"/>
              <w:rPr>
                <w:rFonts w:ascii="宋体" w:hAnsi="宋体" w:cs="宋体"/>
                <w:kern w:val="0"/>
                <w:sz w:val="24"/>
                <w:highlight w:val="none"/>
              </w:rPr>
            </w:pPr>
          </w:p>
        </w:tc>
      </w:tr>
      <w:tr w14:paraId="32378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vAlign w:val="center"/>
          </w:tcPr>
          <w:p w14:paraId="2E38AFB9">
            <w:pPr>
              <w:autoSpaceDE w:val="0"/>
              <w:autoSpaceDN w:val="0"/>
              <w:jc w:val="center"/>
              <w:rPr>
                <w:rFonts w:ascii="宋体" w:hAnsi="宋体" w:cs="宋体"/>
                <w:kern w:val="0"/>
                <w:sz w:val="24"/>
                <w:highlight w:val="none"/>
              </w:rPr>
            </w:pPr>
          </w:p>
        </w:tc>
        <w:tc>
          <w:tcPr>
            <w:tcW w:w="1080" w:type="dxa"/>
            <w:vAlign w:val="center"/>
          </w:tcPr>
          <w:p w14:paraId="4FBA24C6">
            <w:pPr>
              <w:autoSpaceDE w:val="0"/>
              <w:autoSpaceDN w:val="0"/>
              <w:jc w:val="center"/>
              <w:rPr>
                <w:rFonts w:ascii="宋体" w:hAnsi="宋体" w:cs="宋体"/>
                <w:kern w:val="0"/>
                <w:sz w:val="24"/>
                <w:highlight w:val="none"/>
              </w:rPr>
            </w:pPr>
          </w:p>
        </w:tc>
        <w:tc>
          <w:tcPr>
            <w:tcW w:w="540" w:type="dxa"/>
            <w:vAlign w:val="center"/>
          </w:tcPr>
          <w:p w14:paraId="33218E3B">
            <w:pPr>
              <w:autoSpaceDE w:val="0"/>
              <w:autoSpaceDN w:val="0"/>
              <w:jc w:val="center"/>
              <w:rPr>
                <w:rFonts w:ascii="宋体" w:hAnsi="宋体" w:cs="宋体"/>
                <w:kern w:val="0"/>
                <w:sz w:val="24"/>
                <w:highlight w:val="none"/>
              </w:rPr>
            </w:pPr>
          </w:p>
        </w:tc>
        <w:tc>
          <w:tcPr>
            <w:tcW w:w="2340" w:type="dxa"/>
            <w:vAlign w:val="center"/>
          </w:tcPr>
          <w:p w14:paraId="295A4028">
            <w:pPr>
              <w:autoSpaceDE w:val="0"/>
              <w:autoSpaceDN w:val="0"/>
              <w:jc w:val="center"/>
              <w:rPr>
                <w:rFonts w:ascii="宋体" w:hAnsi="宋体" w:cs="宋体"/>
                <w:kern w:val="0"/>
                <w:sz w:val="24"/>
                <w:highlight w:val="none"/>
              </w:rPr>
            </w:pPr>
          </w:p>
        </w:tc>
        <w:tc>
          <w:tcPr>
            <w:tcW w:w="953" w:type="dxa"/>
            <w:vAlign w:val="center"/>
          </w:tcPr>
          <w:p w14:paraId="065C0664">
            <w:pPr>
              <w:autoSpaceDE w:val="0"/>
              <w:autoSpaceDN w:val="0"/>
              <w:jc w:val="center"/>
              <w:rPr>
                <w:rFonts w:ascii="宋体" w:hAnsi="宋体" w:cs="宋体"/>
                <w:kern w:val="0"/>
                <w:sz w:val="24"/>
                <w:highlight w:val="none"/>
              </w:rPr>
            </w:pPr>
          </w:p>
        </w:tc>
        <w:tc>
          <w:tcPr>
            <w:tcW w:w="720" w:type="dxa"/>
            <w:vAlign w:val="center"/>
          </w:tcPr>
          <w:p w14:paraId="136DE53A">
            <w:pPr>
              <w:autoSpaceDE w:val="0"/>
              <w:autoSpaceDN w:val="0"/>
              <w:jc w:val="center"/>
              <w:rPr>
                <w:rFonts w:ascii="宋体" w:hAnsi="宋体" w:cs="宋体"/>
                <w:kern w:val="0"/>
                <w:sz w:val="24"/>
                <w:highlight w:val="none"/>
              </w:rPr>
            </w:pPr>
          </w:p>
        </w:tc>
        <w:tc>
          <w:tcPr>
            <w:tcW w:w="847" w:type="dxa"/>
            <w:vAlign w:val="center"/>
          </w:tcPr>
          <w:p w14:paraId="79FF8CB4">
            <w:pPr>
              <w:autoSpaceDE w:val="0"/>
              <w:autoSpaceDN w:val="0"/>
              <w:jc w:val="center"/>
              <w:rPr>
                <w:rFonts w:ascii="宋体" w:hAnsi="宋体" w:cs="宋体"/>
                <w:kern w:val="0"/>
                <w:sz w:val="24"/>
                <w:highlight w:val="none"/>
              </w:rPr>
            </w:pPr>
          </w:p>
        </w:tc>
        <w:tc>
          <w:tcPr>
            <w:tcW w:w="1440" w:type="dxa"/>
            <w:vAlign w:val="center"/>
          </w:tcPr>
          <w:p w14:paraId="5BC5BCCA">
            <w:pPr>
              <w:autoSpaceDE w:val="0"/>
              <w:autoSpaceDN w:val="0"/>
              <w:jc w:val="center"/>
              <w:rPr>
                <w:rFonts w:ascii="宋体" w:hAnsi="宋体" w:cs="宋体"/>
                <w:kern w:val="0"/>
                <w:sz w:val="24"/>
                <w:highlight w:val="none"/>
              </w:rPr>
            </w:pPr>
          </w:p>
        </w:tc>
        <w:tc>
          <w:tcPr>
            <w:tcW w:w="720" w:type="dxa"/>
            <w:vAlign w:val="center"/>
          </w:tcPr>
          <w:p w14:paraId="4BE884B2">
            <w:pPr>
              <w:autoSpaceDE w:val="0"/>
              <w:autoSpaceDN w:val="0"/>
              <w:jc w:val="center"/>
              <w:rPr>
                <w:rFonts w:ascii="宋体" w:hAnsi="宋体" w:cs="宋体"/>
                <w:kern w:val="0"/>
                <w:sz w:val="24"/>
                <w:highlight w:val="none"/>
              </w:rPr>
            </w:pPr>
          </w:p>
        </w:tc>
      </w:tr>
      <w:tr w14:paraId="4B3AF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40" w:type="dxa"/>
            <w:vAlign w:val="center"/>
          </w:tcPr>
          <w:p w14:paraId="18857475">
            <w:pPr>
              <w:autoSpaceDE w:val="0"/>
              <w:autoSpaceDN w:val="0"/>
              <w:jc w:val="center"/>
              <w:rPr>
                <w:rFonts w:ascii="宋体" w:hAnsi="宋体" w:cs="宋体"/>
                <w:kern w:val="0"/>
                <w:sz w:val="24"/>
                <w:highlight w:val="none"/>
              </w:rPr>
            </w:pPr>
          </w:p>
        </w:tc>
        <w:tc>
          <w:tcPr>
            <w:tcW w:w="1080" w:type="dxa"/>
            <w:vAlign w:val="center"/>
          </w:tcPr>
          <w:p w14:paraId="52D160A7">
            <w:pPr>
              <w:autoSpaceDE w:val="0"/>
              <w:autoSpaceDN w:val="0"/>
              <w:jc w:val="center"/>
              <w:rPr>
                <w:rFonts w:ascii="宋体" w:hAnsi="宋体" w:cs="宋体"/>
                <w:kern w:val="0"/>
                <w:sz w:val="24"/>
                <w:highlight w:val="none"/>
              </w:rPr>
            </w:pPr>
          </w:p>
        </w:tc>
        <w:tc>
          <w:tcPr>
            <w:tcW w:w="540" w:type="dxa"/>
            <w:vAlign w:val="center"/>
          </w:tcPr>
          <w:p w14:paraId="4575D0B1">
            <w:pPr>
              <w:autoSpaceDE w:val="0"/>
              <w:autoSpaceDN w:val="0"/>
              <w:jc w:val="center"/>
              <w:rPr>
                <w:rFonts w:ascii="宋体" w:hAnsi="宋体" w:cs="宋体"/>
                <w:kern w:val="0"/>
                <w:sz w:val="24"/>
                <w:highlight w:val="none"/>
              </w:rPr>
            </w:pPr>
          </w:p>
        </w:tc>
        <w:tc>
          <w:tcPr>
            <w:tcW w:w="2340" w:type="dxa"/>
            <w:vAlign w:val="center"/>
          </w:tcPr>
          <w:p w14:paraId="53D3F0F7">
            <w:pPr>
              <w:autoSpaceDE w:val="0"/>
              <w:autoSpaceDN w:val="0"/>
              <w:jc w:val="center"/>
              <w:rPr>
                <w:rFonts w:ascii="宋体" w:hAnsi="宋体" w:cs="宋体"/>
                <w:kern w:val="0"/>
                <w:sz w:val="24"/>
                <w:highlight w:val="none"/>
              </w:rPr>
            </w:pPr>
          </w:p>
        </w:tc>
        <w:tc>
          <w:tcPr>
            <w:tcW w:w="953" w:type="dxa"/>
            <w:vAlign w:val="center"/>
          </w:tcPr>
          <w:p w14:paraId="04D00555">
            <w:pPr>
              <w:autoSpaceDE w:val="0"/>
              <w:autoSpaceDN w:val="0"/>
              <w:jc w:val="center"/>
              <w:rPr>
                <w:rFonts w:ascii="宋体" w:hAnsi="宋体" w:cs="宋体"/>
                <w:kern w:val="0"/>
                <w:sz w:val="24"/>
                <w:highlight w:val="none"/>
              </w:rPr>
            </w:pPr>
          </w:p>
        </w:tc>
        <w:tc>
          <w:tcPr>
            <w:tcW w:w="720" w:type="dxa"/>
            <w:vAlign w:val="center"/>
          </w:tcPr>
          <w:p w14:paraId="3B6939F0">
            <w:pPr>
              <w:autoSpaceDE w:val="0"/>
              <w:autoSpaceDN w:val="0"/>
              <w:jc w:val="center"/>
              <w:rPr>
                <w:rFonts w:ascii="宋体" w:hAnsi="宋体" w:cs="宋体"/>
                <w:kern w:val="0"/>
                <w:sz w:val="24"/>
                <w:highlight w:val="none"/>
              </w:rPr>
            </w:pPr>
          </w:p>
        </w:tc>
        <w:tc>
          <w:tcPr>
            <w:tcW w:w="847" w:type="dxa"/>
            <w:vAlign w:val="center"/>
          </w:tcPr>
          <w:p w14:paraId="4EE07E88">
            <w:pPr>
              <w:autoSpaceDE w:val="0"/>
              <w:autoSpaceDN w:val="0"/>
              <w:jc w:val="center"/>
              <w:rPr>
                <w:rFonts w:ascii="宋体" w:hAnsi="宋体" w:cs="宋体"/>
                <w:kern w:val="0"/>
                <w:sz w:val="24"/>
                <w:highlight w:val="none"/>
              </w:rPr>
            </w:pPr>
          </w:p>
        </w:tc>
        <w:tc>
          <w:tcPr>
            <w:tcW w:w="1440" w:type="dxa"/>
            <w:vAlign w:val="center"/>
          </w:tcPr>
          <w:p w14:paraId="15631926">
            <w:pPr>
              <w:autoSpaceDE w:val="0"/>
              <w:autoSpaceDN w:val="0"/>
              <w:jc w:val="center"/>
              <w:rPr>
                <w:rFonts w:ascii="宋体" w:hAnsi="宋体" w:cs="宋体"/>
                <w:kern w:val="0"/>
                <w:sz w:val="24"/>
                <w:highlight w:val="none"/>
              </w:rPr>
            </w:pPr>
          </w:p>
        </w:tc>
        <w:tc>
          <w:tcPr>
            <w:tcW w:w="720" w:type="dxa"/>
            <w:vAlign w:val="center"/>
          </w:tcPr>
          <w:p w14:paraId="15C8964E">
            <w:pPr>
              <w:autoSpaceDE w:val="0"/>
              <w:autoSpaceDN w:val="0"/>
              <w:jc w:val="center"/>
              <w:rPr>
                <w:rFonts w:ascii="宋体" w:hAnsi="宋体" w:cs="宋体"/>
                <w:kern w:val="0"/>
                <w:sz w:val="24"/>
                <w:highlight w:val="none"/>
              </w:rPr>
            </w:pPr>
          </w:p>
        </w:tc>
      </w:tr>
    </w:tbl>
    <w:p w14:paraId="3AE3024D">
      <w:pPr>
        <w:spacing w:line="360" w:lineRule="auto"/>
        <w:jc w:val="left"/>
        <w:rPr>
          <w:rFonts w:hint="eastAsia" w:ascii="宋体" w:hAnsi="宋体" w:eastAsia="宋体" w:cs="宋体"/>
          <w:b/>
          <w:sz w:val="28"/>
          <w:szCs w:val="44"/>
          <w:highlight w:val="none"/>
        </w:rPr>
      </w:pPr>
    </w:p>
    <w:p w14:paraId="6E2DBF7B">
      <w:pPr>
        <w:spacing w:line="360" w:lineRule="auto"/>
        <w:jc w:val="left"/>
        <w:rPr>
          <w:rFonts w:ascii="宋体" w:hAnsi="宋体" w:eastAsia="宋体" w:cs="宋体"/>
          <w:b/>
          <w:sz w:val="28"/>
          <w:szCs w:val="44"/>
          <w:highlight w:val="none"/>
        </w:rPr>
      </w:pPr>
      <w:r>
        <w:rPr>
          <w:rFonts w:hint="eastAsia" w:ascii="宋体" w:hAnsi="宋体" w:eastAsia="宋体" w:cs="宋体"/>
          <w:b/>
          <w:sz w:val="28"/>
          <w:szCs w:val="44"/>
          <w:highlight w:val="none"/>
        </w:rPr>
        <w:t>附件</w:t>
      </w:r>
      <w:r>
        <w:rPr>
          <w:rFonts w:hint="eastAsia" w:ascii="宋体" w:hAnsi="宋体" w:eastAsia="宋体" w:cs="宋体"/>
          <w:b/>
          <w:sz w:val="28"/>
          <w:szCs w:val="44"/>
          <w:highlight w:val="none"/>
          <w:lang w:val="en-US" w:eastAsia="zh-CN"/>
        </w:rPr>
        <w:t>5</w:t>
      </w:r>
      <w:r>
        <w:rPr>
          <w:rFonts w:hint="eastAsia" w:ascii="宋体" w:hAnsi="宋体" w:eastAsia="宋体" w:cs="宋体"/>
          <w:b/>
          <w:sz w:val="28"/>
          <w:szCs w:val="44"/>
          <w:highlight w:val="none"/>
        </w:rPr>
        <w:t>：投标人营业执照（盖公章）</w:t>
      </w:r>
    </w:p>
    <w:p w14:paraId="677A330B">
      <w:pPr>
        <w:spacing w:line="360" w:lineRule="auto"/>
        <w:jc w:val="left"/>
        <w:rPr>
          <w:rFonts w:ascii="宋体" w:hAnsi="宋体" w:eastAsia="宋体" w:cs="宋体"/>
          <w:b/>
          <w:sz w:val="28"/>
          <w:szCs w:val="44"/>
          <w:highlight w:val="none"/>
        </w:rPr>
      </w:pPr>
      <w:r>
        <w:rPr>
          <w:rFonts w:hint="eastAsia" w:ascii="宋体" w:hAnsi="宋体" w:eastAsia="宋体" w:cs="宋体"/>
          <w:b/>
          <w:sz w:val="28"/>
          <w:szCs w:val="44"/>
          <w:highlight w:val="none"/>
        </w:rPr>
        <w:t>附件</w:t>
      </w:r>
      <w:r>
        <w:rPr>
          <w:rFonts w:hint="eastAsia" w:ascii="宋体" w:hAnsi="宋体" w:eastAsia="宋体" w:cs="宋体"/>
          <w:b/>
          <w:sz w:val="28"/>
          <w:szCs w:val="44"/>
          <w:highlight w:val="none"/>
          <w:lang w:val="en-US" w:eastAsia="zh-CN"/>
        </w:rPr>
        <w:t>6</w:t>
      </w:r>
      <w:r>
        <w:rPr>
          <w:rFonts w:hint="eastAsia" w:ascii="宋体" w:hAnsi="宋体" w:eastAsia="宋体" w:cs="宋体"/>
          <w:b/>
          <w:sz w:val="28"/>
          <w:szCs w:val="44"/>
          <w:highlight w:val="none"/>
        </w:rPr>
        <w:t>：投标人资质证书（盖公章）</w:t>
      </w:r>
    </w:p>
    <w:p w14:paraId="1B0F03F7">
      <w:pPr>
        <w:spacing w:line="360" w:lineRule="auto"/>
        <w:jc w:val="left"/>
        <w:rPr>
          <w:rFonts w:ascii="宋体" w:hAnsi="宋体" w:eastAsia="宋体" w:cs="宋体"/>
          <w:b/>
          <w:sz w:val="28"/>
          <w:szCs w:val="44"/>
          <w:highlight w:val="none"/>
        </w:rPr>
      </w:pPr>
      <w:r>
        <w:rPr>
          <w:rFonts w:hint="eastAsia" w:ascii="宋体" w:hAnsi="宋体" w:eastAsia="宋体" w:cs="宋体"/>
          <w:b/>
          <w:sz w:val="28"/>
          <w:szCs w:val="44"/>
          <w:highlight w:val="none"/>
        </w:rPr>
        <w:t>附件</w:t>
      </w:r>
      <w:r>
        <w:rPr>
          <w:rFonts w:hint="eastAsia" w:ascii="宋体" w:hAnsi="宋体" w:eastAsia="宋体" w:cs="宋体"/>
          <w:b/>
          <w:sz w:val="28"/>
          <w:szCs w:val="44"/>
          <w:highlight w:val="none"/>
          <w:lang w:val="en-US" w:eastAsia="zh-CN"/>
        </w:rPr>
        <w:t>7</w:t>
      </w:r>
      <w:r>
        <w:rPr>
          <w:rFonts w:hint="eastAsia" w:ascii="宋体" w:hAnsi="宋体" w:eastAsia="宋体" w:cs="宋体"/>
          <w:b/>
          <w:sz w:val="28"/>
          <w:szCs w:val="44"/>
          <w:highlight w:val="none"/>
        </w:rPr>
        <w:t>：投标人认为需要补充的其他材料</w:t>
      </w:r>
      <w:r>
        <w:rPr>
          <w:rFonts w:ascii="宋体" w:hAnsi="宋体" w:eastAsia="宋体" w:cs="宋体"/>
          <w:b/>
          <w:sz w:val="28"/>
          <w:szCs w:val="44"/>
          <w:highlight w:val="none"/>
        </w:rPr>
        <w:t>（盖公章）</w:t>
      </w:r>
    </w:p>
    <w:p w14:paraId="2A17ED87">
      <w:pPr>
        <w:rPr>
          <w:rFonts w:ascii="宋体" w:hAnsi="宋体" w:eastAsia="宋体"/>
          <w:sz w:val="24"/>
          <w:szCs w:val="21"/>
          <w:highlight w:val="none"/>
        </w:rPr>
      </w:pPr>
    </w:p>
    <w:p w14:paraId="1F764332">
      <w:pPr>
        <w:pStyle w:val="20"/>
        <w:rPr>
          <w:rFonts w:ascii="宋体" w:hAnsi="宋体" w:eastAsia="宋体"/>
          <w:sz w:val="24"/>
          <w:szCs w:val="21"/>
          <w:highlight w:val="none"/>
        </w:rPr>
      </w:pPr>
    </w:p>
    <w:p w14:paraId="6EC1F606">
      <w:pPr>
        <w:pStyle w:val="20"/>
        <w:rPr>
          <w:rFonts w:ascii="宋体" w:hAnsi="宋体" w:eastAsia="宋体"/>
          <w:sz w:val="24"/>
          <w:szCs w:val="21"/>
          <w:highlight w:val="none"/>
        </w:rPr>
      </w:pPr>
    </w:p>
    <w:p w14:paraId="231D1116">
      <w:pPr>
        <w:pStyle w:val="20"/>
        <w:rPr>
          <w:rFonts w:ascii="宋体" w:hAnsi="宋体" w:eastAsia="宋体"/>
          <w:sz w:val="24"/>
          <w:szCs w:val="21"/>
          <w:highlight w:val="none"/>
        </w:rPr>
      </w:pPr>
    </w:p>
    <w:p w14:paraId="77AF717A">
      <w:pPr>
        <w:pStyle w:val="20"/>
        <w:rPr>
          <w:rFonts w:ascii="宋体" w:hAnsi="宋体" w:eastAsia="宋体"/>
          <w:sz w:val="24"/>
          <w:szCs w:val="21"/>
          <w:highlight w:val="none"/>
        </w:rPr>
      </w:pPr>
    </w:p>
    <w:p w14:paraId="31DD59A2">
      <w:pPr>
        <w:pStyle w:val="20"/>
        <w:rPr>
          <w:rFonts w:ascii="宋体" w:hAnsi="宋体" w:eastAsia="宋体"/>
          <w:sz w:val="24"/>
          <w:szCs w:val="21"/>
          <w:highlight w:val="none"/>
        </w:rPr>
      </w:pPr>
    </w:p>
    <w:p w14:paraId="14649CA2">
      <w:pPr>
        <w:pStyle w:val="20"/>
        <w:rPr>
          <w:rFonts w:ascii="宋体" w:hAnsi="宋体" w:eastAsia="宋体"/>
          <w:sz w:val="24"/>
          <w:szCs w:val="21"/>
          <w:highlight w:val="none"/>
        </w:rPr>
      </w:pPr>
    </w:p>
    <w:p w14:paraId="730022DD">
      <w:pPr>
        <w:spacing w:line="360" w:lineRule="auto"/>
        <w:jc w:val="left"/>
        <w:rPr>
          <w:rFonts w:ascii="宋体" w:hAnsi="宋体" w:eastAsia="宋体" w:cs="宋体"/>
          <w:b/>
          <w:sz w:val="28"/>
          <w:szCs w:val="44"/>
          <w:highlight w:val="none"/>
        </w:rPr>
      </w:pPr>
      <w:r>
        <w:rPr>
          <w:rFonts w:hint="eastAsia" w:ascii="宋体" w:hAnsi="宋体" w:eastAsia="宋体" w:cs="宋体"/>
          <w:b/>
          <w:sz w:val="28"/>
          <w:szCs w:val="44"/>
          <w:highlight w:val="none"/>
        </w:rPr>
        <w:t>附件二：合同示范文本</w:t>
      </w:r>
    </w:p>
    <w:p w14:paraId="67467BC8">
      <w:pPr>
        <w:pStyle w:val="2"/>
        <w:keepNext w:val="0"/>
        <w:keepLines w:val="0"/>
        <w:spacing w:before="0" w:after="0" w:line="460" w:lineRule="exact"/>
        <w:jc w:val="center"/>
        <w:rPr>
          <w:rFonts w:ascii="宋体" w:hAnsi="宋体" w:cs="宋体"/>
          <w:sz w:val="21"/>
          <w:szCs w:val="21"/>
          <w:highlight w:val="none"/>
        </w:rPr>
      </w:pPr>
    </w:p>
    <w:p w14:paraId="16079F78">
      <w:pPr>
        <w:rPr>
          <w:highlight w:val="none"/>
        </w:rPr>
      </w:pPr>
    </w:p>
    <w:p w14:paraId="3D7D8314">
      <w:pPr>
        <w:pStyle w:val="2"/>
        <w:keepNext w:val="0"/>
        <w:keepLines w:val="0"/>
        <w:jc w:val="center"/>
        <w:rPr>
          <w:rFonts w:hint="eastAsia" w:ascii="宋体" w:hAnsi="宋体" w:eastAsia="宋体" w:cs="宋体"/>
          <w:highlight w:val="none"/>
          <w:lang w:eastAsia="zh-CN"/>
        </w:rPr>
      </w:pPr>
      <w:r>
        <w:rPr>
          <w:rFonts w:hint="eastAsia" w:ascii="宋体" w:hAnsi="宋体" w:eastAsia="宋体" w:cs="宋体"/>
          <w:highlight w:val="none"/>
          <w:lang w:eastAsia="zh-CN"/>
        </w:rPr>
        <w:t>江苏盐昇光电新材料有限公司1.596MW/3.457MWh用户侧储能电站项目</w:t>
      </w:r>
    </w:p>
    <w:p w14:paraId="131A70DB">
      <w:pPr>
        <w:jc w:val="center"/>
        <w:rPr>
          <w:sz w:val="24"/>
          <w:szCs w:val="24"/>
          <w:highlight w:val="none"/>
        </w:rPr>
      </w:pPr>
      <w:r>
        <w:rPr>
          <w:rFonts w:hint="eastAsia" w:ascii="宋体" w:hAnsi="宋体" w:eastAsia="宋体" w:cs="宋体"/>
          <w:sz w:val="24"/>
          <w:szCs w:val="24"/>
          <w:highlight w:val="none"/>
        </w:rPr>
        <w:t>（GF-2012-0202）</w:t>
      </w:r>
    </w:p>
    <w:p w14:paraId="78684C2F">
      <w:pPr>
        <w:pStyle w:val="2"/>
        <w:keepNext w:val="0"/>
        <w:keepLines w:val="0"/>
        <w:jc w:val="center"/>
        <w:rPr>
          <w:rFonts w:ascii="宋体" w:hAnsi="宋体" w:eastAsia="宋体" w:cs="宋体"/>
          <w:highlight w:val="none"/>
        </w:rPr>
      </w:pPr>
    </w:p>
    <w:p w14:paraId="543FA3FB">
      <w:pPr>
        <w:pStyle w:val="2"/>
        <w:keepNext w:val="0"/>
        <w:keepLines w:val="0"/>
        <w:jc w:val="center"/>
        <w:rPr>
          <w:rFonts w:ascii="宋体" w:hAnsi="宋体" w:eastAsia="宋体" w:cs="宋体"/>
          <w:highlight w:val="none"/>
        </w:rPr>
      </w:pPr>
    </w:p>
    <w:p w14:paraId="2882A63B">
      <w:pPr>
        <w:pStyle w:val="2"/>
        <w:keepNext w:val="0"/>
        <w:keepLines w:val="0"/>
        <w:jc w:val="center"/>
        <w:rPr>
          <w:rFonts w:ascii="宋体" w:hAnsi="宋体" w:eastAsia="宋体" w:cs="宋体"/>
          <w:highlight w:val="none"/>
        </w:rPr>
      </w:pPr>
      <w:r>
        <w:rPr>
          <w:rFonts w:hint="eastAsia" w:ascii="宋体" w:hAnsi="宋体" w:eastAsia="宋体" w:cs="宋体"/>
          <w:highlight w:val="none"/>
        </w:rPr>
        <w:t>建设工程监理合同</w:t>
      </w:r>
    </w:p>
    <w:p w14:paraId="372FFB4D">
      <w:pPr>
        <w:pStyle w:val="2"/>
        <w:keepNext w:val="0"/>
        <w:keepLines w:val="0"/>
        <w:rPr>
          <w:rFonts w:ascii="宋体" w:hAnsi="宋体" w:eastAsia="宋体" w:cs="宋体"/>
          <w:highlight w:val="none"/>
        </w:rPr>
      </w:pPr>
    </w:p>
    <w:p w14:paraId="46C898F5">
      <w:pPr>
        <w:pStyle w:val="2"/>
        <w:keepNext w:val="0"/>
        <w:keepLines w:val="0"/>
        <w:jc w:val="center"/>
        <w:rPr>
          <w:rFonts w:ascii="宋体" w:hAnsi="宋体" w:eastAsia="宋体" w:cs="宋体"/>
          <w:highlight w:val="none"/>
        </w:rPr>
      </w:pPr>
    </w:p>
    <w:p w14:paraId="18A0BCA2">
      <w:pPr>
        <w:rPr>
          <w:rFonts w:ascii="宋体" w:hAnsi="宋体" w:eastAsia="宋体" w:cs="宋体"/>
          <w:highlight w:val="none"/>
        </w:rPr>
      </w:pPr>
    </w:p>
    <w:p w14:paraId="69714D38">
      <w:pPr>
        <w:pStyle w:val="20"/>
        <w:rPr>
          <w:rFonts w:hint="default" w:cs="宋体"/>
          <w:highlight w:val="none"/>
        </w:rPr>
      </w:pPr>
    </w:p>
    <w:p w14:paraId="3AAC4A4A">
      <w:pPr>
        <w:pStyle w:val="20"/>
        <w:rPr>
          <w:rFonts w:hint="default" w:cs="宋体"/>
          <w:highlight w:val="none"/>
        </w:rPr>
      </w:pPr>
    </w:p>
    <w:p w14:paraId="7EAAD6C4">
      <w:pPr>
        <w:pStyle w:val="20"/>
        <w:rPr>
          <w:rFonts w:hint="default" w:cs="宋体"/>
          <w:highlight w:val="none"/>
        </w:rPr>
      </w:pPr>
    </w:p>
    <w:p w14:paraId="7AFE0DE4">
      <w:pPr>
        <w:pStyle w:val="20"/>
        <w:rPr>
          <w:rFonts w:hint="default" w:cs="宋体"/>
          <w:highlight w:val="none"/>
        </w:rPr>
      </w:pPr>
    </w:p>
    <w:p w14:paraId="7F67EB38">
      <w:pPr>
        <w:pStyle w:val="20"/>
        <w:rPr>
          <w:rFonts w:hint="default" w:cs="宋体"/>
          <w:highlight w:val="none"/>
        </w:rPr>
      </w:pPr>
    </w:p>
    <w:p w14:paraId="50B7CC3D">
      <w:pPr>
        <w:pStyle w:val="2"/>
        <w:keepNext w:val="0"/>
        <w:keepLines w:val="0"/>
        <w:rPr>
          <w:rFonts w:ascii="宋体" w:hAnsi="宋体" w:eastAsia="宋体" w:cs="宋体"/>
          <w:highlight w:val="none"/>
        </w:rPr>
      </w:pPr>
    </w:p>
    <w:p w14:paraId="3623149B">
      <w:pPr>
        <w:spacing w:line="400" w:lineRule="exact"/>
        <w:ind w:firstLine="2940" w:firstLineChars="1400"/>
        <w:rPr>
          <w:rFonts w:ascii="宋体" w:hAnsi="宋体" w:eastAsia="宋体" w:cs="宋体"/>
          <w:sz w:val="30"/>
          <w:szCs w:val="24"/>
          <w:highlight w:val="none"/>
        </w:rPr>
      </w:pPr>
      <w:r>
        <w:rPr>
          <w:rFonts w:hint="eastAsia" w:ascii="宋体" w:hAnsi="宋体" w:eastAsia="宋体" w:cs="宋体"/>
          <w:highlight w:val="none"/>
        </w:rPr>
        <mc:AlternateContent>
          <mc:Choice Requires="wps">
            <w:drawing>
              <wp:anchor distT="0" distB="0" distL="114300" distR="114300" simplePos="0" relativeHeight="251663360" behindDoc="0" locked="0" layoutInCell="1" allowOverlap="1">
                <wp:simplePos x="0" y="0"/>
                <wp:positionH relativeFrom="column">
                  <wp:posOffset>4019550</wp:posOffset>
                </wp:positionH>
                <wp:positionV relativeFrom="paragraph">
                  <wp:posOffset>6350</wp:posOffset>
                </wp:positionV>
                <wp:extent cx="1228725" cy="4000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228725" cy="400050"/>
                        </a:xfrm>
                        <a:prstGeom prst="rect">
                          <a:avLst/>
                        </a:prstGeom>
                        <a:noFill/>
                        <a:ln w="9525">
                          <a:noFill/>
                        </a:ln>
                        <a:effectLst/>
                      </wps:spPr>
                      <wps:txbx>
                        <w:txbxContent>
                          <w:p w14:paraId="4F2087D4">
                            <w:pPr>
                              <w:rPr>
                                <w:rFonts w:ascii="宋体" w:hAnsi="宋体" w:eastAsia="宋体" w:cs="宋体"/>
                                <w:sz w:val="28"/>
                              </w:rPr>
                            </w:pPr>
                            <w:r>
                              <w:rPr>
                                <w:rFonts w:hint="eastAsia" w:ascii="宋体" w:hAnsi="宋体" w:eastAsia="宋体" w:cs="宋体"/>
                                <w:sz w:val="28"/>
                              </w:rPr>
                              <w:t>制定</w:t>
                            </w:r>
                          </w:p>
                          <w:p w14:paraId="2E07B445"/>
                        </w:txbxContent>
                      </wps:txbx>
                      <wps:bodyPr upright="1"/>
                    </wps:wsp>
                  </a:graphicData>
                </a:graphic>
              </wp:anchor>
            </w:drawing>
          </mc:Choice>
          <mc:Fallback>
            <w:pict>
              <v:shape id="_x0000_s1026" o:spid="_x0000_s1026" o:spt="202" type="#_x0000_t202" style="position:absolute;left:0pt;margin-left:316.5pt;margin-top:0.5pt;height:31.5pt;width:96.75pt;z-index:251663360;mso-width-relative:page;mso-height-relative:page;" filled="f" stroked="f" coordsize="21600,21600" o:gfxdata="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GuVY9UAAAAIAQAADwAAAAAAAAABACAAAAAiAAAAZHJzL2Rvd25yZXYueG1sUEsBAhQAFAAA&#10;AAgAh07iQCPbfqa5AQAAZQMAAA4AAAAAAAAAAQAgAAAAJAEAAGRycy9lMm9Eb2MueG1sUEsFBgAA&#10;AAAGAAYAWQEAAE8FAAAAAA==&#10;">
                <v:fill on="f" focussize="0,0"/>
                <v:stroke on="f"/>
                <v:imagedata o:title=""/>
                <o:lock v:ext="edit" aspectratio="f"/>
                <v:textbox>
                  <w:txbxContent>
                    <w:p w14:paraId="4F2087D4">
                      <w:pPr>
                        <w:rPr>
                          <w:rFonts w:ascii="宋体" w:hAnsi="宋体" w:eastAsia="宋体" w:cs="宋体"/>
                          <w:sz w:val="28"/>
                        </w:rPr>
                      </w:pPr>
                      <w:r>
                        <w:rPr>
                          <w:rFonts w:hint="eastAsia" w:ascii="宋体" w:hAnsi="宋体" w:eastAsia="宋体" w:cs="宋体"/>
                          <w:sz w:val="28"/>
                        </w:rPr>
                        <w:t>制定</w:t>
                      </w:r>
                    </w:p>
                    <w:p w14:paraId="2E07B445"/>
                  </w:txbxContent>
                </v:textbox>
              </v:shape>
            </w:pict>
          </mc:Fallback>
        </mc:AlternateContent>
      </w:r>
      <w:r>
        <w:rPr>
          <w:rFonts w:hint="eastAsia" w:ascii="宋体" w:hAnsi="宋体" w:eastAsia="宋体" w:cs="宋体"/>
          <w:sz w:val="30"/>
          <w:szCs w:val="24"/>
          <w:highlight w:val="none"/>
        </w:rPr>
        <w:t>住房和城乡建设部</w:t>
      </w:r>
    </w:p>
    <w:p w14:paraId="7ADA4CFB">
      <w:pPr>
        <w:spacing w:line="400" w:lineRule="exact"/>
        <w:ind w:firstLine="2700" w:firstLineChars="900"/>
        <w:rPr>
          <w:rFonts w:ascii="宋体" w:hAnsi="宋体" w:eastAsia="宋体" w:cs="宋体"/>
          <w:sz w:val="30"/>
          <w:szCs w:val="24"/>
          <w:highlight w:val="none"/>
        </w:rPr>
      </w:pPr>
      <w:r>
        <w:rPr>
          <w:rFonts w:hint="eastAsia" w:ascii="宋体" w:hAnsi="宋体" w:eastAsia="宋体" w:cs="宋体"/>
          <w:sz w:val="30"/>
          <w:szCs w:val="24"/>
          <w:highlight w:val="none"/>
        </w:rPr>
        <w:t>国家工商行政管理总局</w:t>
      </w:r>
    </w:p>
    <w:p w14:paraId="23C82EC0">
      <w:pPr>
        <w:pStyle w:val="20"/>
        <w:rPr>
          <w:rFonts w:hint="default"/>
          <w:highlight w:val="none"/>
        </w:rPr>
      </w:pPr>
    </w:p>
    <w:p w14:paraId="51B62F13">
      <w:pPr>
        <w:pStyle w:val="3"/>
        <w:spacing w:line="240" w:lineRule="auto"/>
        <w:jc w:val="center"/>
        <w:rPr>
          <w:rFonts w:ascii="宋体" w:hAnsi="宋体" w:eastAsia="宋体" w:cs="宋体"/>
          <w:sz w:val="36"/>
          <w:szCs w:val="36"/>
          <w:highlight w:val="none"/>
        </w:rPr>
      </w:pPr>
      <w:bookmarkStart w:id="0" w:name="_Toc398107899"/>
      <w:r>
        <w:rPr>
          <w:rFonts w:hint="eastAsia" w:ascii="宋体" w:hAnsi="宋体" w:eastAsia="宋体" w:cs="宋体"/>
          <w:sz w:val="36"/>
          <w:szCs w:val="36"/>
          <w:highlight w:val="none"/>
        </w:rPr>
        <w:t>第一部分  协议书</w:t>
      </w:r>
      <w:bookmarkEnd w:id="0"/>
    </w:p>
    <w:p w14:paraId="5538D600">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委托人（全称）：</w:t>
      </w:r>
      <w:r>
        <w:rPr>
          <w:rFonts w:hint="eastAsia" w:ascii="宋体" w:hAnsi="宋体" w:eastAsia="宋体" w:cs="宋体"/>
          <w:sz w:val="24"/>
          <w:highlight w:val="none"/>
          <w:u w:val="single"/>
        </w:rPr>
        <w:t>江苏盐城市清洁能源发展股份有限公司</w:t>
      </w:r>
    </w:p>
    <w:p w14:paraId="00769FA3">
      <w:pPr>
        <w:spacing w:line="500" w:lineRule="exact"/>
        <w:ind w:firstLine="480" w:firstLineChars="200"/>
        <w:rPr>
          <w:rFonts w:ascii="宋体" w:hAnsi="宋体" w:eastAsia="宋体" w:cs="宋体"/>
          <w:sz w:val="24"/>
          <w:highlight w:val="none"/>
          <w:u w:val="single"/>
        </w:rPr>
      </w:pPr>
      <w:r>
        <w:rPr>
          <w:rFonts w:hint="eastAsia" w:ascii="宋体" w:hAnsi="宋体" w:eastAsia="宋体" w:cs="宋体"/>
          <w:sz w:val="24"/>
          <w:highlight w:val="none"/>
        </w:rPr>
        <w:t>监理人（全称）：</w:t>
      </w:r>
      <w:r>
        <w:rPr>
          <w:rFonts w:hint="eastAsia" w:ascii="宋体" w:hAnsi="宋体" w:eastAsia="宋体" w:cs="宋体"/>
          <w:sz w:val="24"/>
          <w:highlight w:val="none"/>
          <w:u w:val="single"/>
        </w:rPr>
        <w:t xml:space="preserve">                              </w:t>
      </w:r>
    </w:p>
    <w:p w14:paraId="61D6D753">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根据《中华人民共和国民法典》、《中华人民共和国建筑法》及其他有关法律、法规，遵循平等、自愿、公平和诚信的原则，双方就下述工程委托监理与相关服务事项协商一致，订立本合同。</w:t>
      </w:r>
    </w:p>
    <w:p w14:paraId="0A0F8451">
      <w:pPr>
        <w:pStyle w:val="4"/>
        <w:spacing w:before="0" w:after="0" w:line="500" w:lineRule="exact"/>
        <w:ind w:firstLine="480" w:firstLineChars="200"/>
        <w:rPr>
          <w:rFonts w:ascii="宋体" w:hAnsi="宋体" w:eastAsia="宋体" w:cs="宋体"/>
          <w:bCs w:val="0"/>
          <w:szCs w:val="24"/>
          <w:highlight w:val="none"/>
        </w:rPr>
      </w:pPr>
      <w:r>
        <w:rPr>
          <w:rFonts w:hint="eastAsia" w:ascii="宋体" w:hAnsi="宋体" w:eastAsia="宋体" w:cs="宋体"/>
          <w:bCs w:val="0"/>
          <w:szCs w:val="24"/>
          <w:highlight w:val="none"/>
        </w:rPr>
        <w:t>一、工程概况</w:t>
      </w:r>
    </w:p>
    <w:p w14:paraId="1053CB5B">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1. 工程名称：</w:t>
      </w:r>
      <w:r>
        <w:rPr>
          <w:rFonts w:hint="eastAsia" w:ascii="宋体" w:hAnsi="宋体" w:eastAsia="宋体" w:cs="宋体"/>
          <w:bCs/>
          <w:sz w:val="24"/>
          <w:highlight w:val="none"/>
          <w:u w:val="single"/>
          <w:lang w:eastAsia="zh-CN"/>
        </w:rPr>
        <w:t>江苏盐昇光电新材料有限公司1.596MW/3.457MWh用户侧储能电站项目</w:t>
      </w:r>
      <w:r>
        <w:rPr>
          <w:rFonts w:hint="eastAsia" w:ascii="宋体" w:hAnsi="宋体" w:eastAsia="宋体" w:cs="宋体"/>
          <w:bCs/>
          <w:sz w:val="24"/>
          <w:highlight w:val="none"/>
          <w:u w:val="single"/>
        </w:rPr>
        <w:t>全过程监理服务</w:t>
      </w:r>
      <w:r>
        <w:rPr>
          <w:rFonts w:hint="eastAsia" w:ascii="宋体" w:hAnsi="宋体" w:eastAsia="宋体" w:cs="宋体"/>
          <w:sz w:val="24"/>
          <w:highlight w:val="none"/>
        </w:rPr>
        <w:t>；</w:t>
      </w:r>
    </w:p>
    <w:p w14:paraId="79AD10D0">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2. 工程地点：</w:t>
      </w:r>
      <w:r>
        <w:rPr>
          <w:rFonts w:hint="eastAsia" w:ascii="宋体" w:hAnsi="宋体" w:eastAsia="宋体" w:cs="宋体"/>
          <w:bCs/>
          <w:sz w:val="24"/>
          <w:highlight w:val="none"/>
          <w:u w:val="single"/>
        </w:rPr>
        <w:t>项目位于盐城市</w:t>
      </w:r>
      <w:r>
        <w:rPr>
          <w:rFonts w:hint="eastAsia" w:ascii="宋体" w:hAnsi="宋体" w:eastAsia="宋体" w:cs="宋体"/>
          <w:bCs/>
          <w:sz w:val="24"/>
          <w:highlight w:val="none"/>
          <w:u w:val="single"/>
          <w:lang w:val="en-US" w:eastAsia="zh-CN"/>
        </w:rPr>
        <w:t>经济技术开发区</w:t>
      </w:r>
      <w:r>
        <w:rPr>
          <w:rFonts w:hint="eastAsia" w:ascii="宋体" w:hAnsi="宋体" w:eastAsia="宋体" w:cs="宋体"/>
          <w:sz w:val="24"/>
          <w:highlight w:val="none"/>
        </w:rPr>
        <w:t>；</w:t>
      </w:r>
    </w:p>
    <w:p w14:paraId="7F6AE296">
      <w:pPr>
        <w:spacing w:line="500" w:lineRule="exact"/>
        <w:ind w:firstLine="480" w:firstLineChars="200"/>
        <w:rPr>
          <w:rFonts w:ascii="宋体" w:hAnsi="宋体" w:eastAsia="宋体" w:cs="宋体"/>
          <w:bCs/>
          <w:sz w:val="24"/>
          <w:highlight w:val="none"/>
          <w:u w:val="single"/>
        </w:rPr>
      </w:pPr>
      <w:r>
        <w:rPr>
          <w:rFonts w:hint="eastAsia" w:ascii="宋体" w:hAnsi="宋体" w:eastAsia="宋体" w:cs="宋体"/>
          <w:sz w:val="24"/>
          <w:highlight w:val="none"/>
        </w:rPr>
        <w:t>3. 工程规模：</w:t>
      </w:r>
      <w:r>
        <w:rPr>
          <w:rFonts w:hint="eastAsia" w:ascii="宋体" w:hAnsi="宋体" w:eastAsia="宋体" w:cs="宋体"/>
          <w:bCs/>
          <w:sz w:val="24"/>
          <w:highlight w:val="none"/>
          <w:u w:val="single"/>
        </w:rPr>
        <w:t>该项目利用盐城市国能投资有限公司厂区空地约680平方米，建设江苏盐昇光电新材料有限公司1.596MW/3.457MWh用户侧储能电站项目，该项目采用0.4kV电压等级并网，分4回接入到厂区配电室0.4kV配电系统。</w:t>
      </w:r>
    </w:p>
    <w:p w14:paraId="42838B67">
      <w:pPr>
        <w:spacing w:line="500" w:lineRule="exact"/>
        <w:ind w:firstLine="480" w:firstLineChars="200"/>
        <w:rPr>
          <w:rFonts w:ascii="宋体" w:hAnsi="宋体" w:eastAsia="宋体" w:cs="宋体"/>
          <w:sz w:val="24"/>
          <w:highlight w:val="none"/>
          <w:u w:val="single"/>
        </w:rPr>
      </w:pPr>
      <w:r>
        <w:rPr>
          <w:rFonts w:hint="eastAsia" w:ascii="宋体" w:hAnsi="宋体" w:eastAsia="宋体" w:cs="宋体"/>
          <w:bCs/>
          <w:sz w:val="24"/>
          <w:highlight w:val="none"/>
          <w:u w:val="single"/>
        </w:rPr>
        <w:t>招标人保留对上述规模适当调整的权利</w:t>
      </w:r>
      <w:r>
        <w:rPr>
          <w:rFonts w:hint="eastAsia" w:ascii="宋体" w:hAnsi="宋体" w:eastAsia="宋体" w:cs="宋体"/>
          <w:sz w:val="24"/>
          <w:highlight w:val="none"/>
          <w:u w:val="single"/>
        </w:rPr>
        <w:t>。</w:t>
      </w:r>
    </w:p>
    <w:p w14:paraId="4B87D272">
      <w:pPr>
        <w:spacing w:line="500" w:lineRule="exact"/>
        <w:ind w:firstLine="480" w:firstLineChars="200"/>
        <w:rPr>
          <w:rFonts w:ascii="宋体" w:hAnsi="宋体" w:eastAsia="宋体" w:cs="宋体"/>
          <w:highlight w:val="none"/>
        </w:rPr>
      </w:pPr>
      <w:r>
        <w:rPr>
          <w:rFonts w:hint="eastAsia" w:ascii="宋体" w:hAnsi="宋体" w:eastAsia="宋体" w:cs="宋体"/>
          <w:sz w:val="24"/>
          <w:highlight w:val="none"/>
        </w:rPr>
        <w:t>4. 工程概算投资额或建筑安装工程费：</w:t>
      </w:r>
      <w:r>
        <w:rPr>
          <w:rFonts w:hint="eastAsia" w:ascii="宋体" w:hAnsi="宋体" w:eastAsia="宋体" w:cs="宋体"/>
          <w:sz w:val="24"/>
          <w:highlight w:val="none"/>
          <w:u w:val="single"/>
        </w:rPr>
        <w:t>约</w:t>
      </w:r>
      <w:r>
        <w:rPr>
          <w:rFonts w:hint="eastAsia" w:ascii="宋体" w:hAnsi="宋体" w:eastAsia="宋体" w:cs="宋体"/>
          <w:sz w:val="24"/>
          <w:highlight w:val="none"/>
          <w:u w:val="single"/>
          <w:lang w:val="en-US" w:eastAsia="zh-CN"/>
        </w:rPr>
        <w:t>173</w:t>
      </w:r>
      <w:r>
        <w:rPr>
          <w:rFonts w:hint="eastAsia" w:ascii="宋体" w:hAnsi="宋体" w:eastAsia="宋体" w:cs="宋体"/>
          <w:sz w:val="24"/>
          <w:highlight w:val="none"/>
          <w:u w:val="single"/>
        </w:rPr>
        <w:t>万元</w:t>
      </w:r>
      <w:r>
        <w:rPr>
          <w:rFonts w:hint="eastAsia" w:ascii="宋体" w:hAnsi="宋体" w:eastAsia="宋体" w:cs="宋体"/>
          <w:sz w:val="24"/>
          <w:highlight w:val="none"/>
        </w:rPr>
        <w:t>。</w:t>
      </w:r>
    </w:p>
    <w:p w14:paraId="34A14C10">
      <w:pPr>
        <w:pStyle w:val="4"/>
        <w:spacing w:before="0" w:after="0" w:line="500" w:lineRule="exact"/>
        <w:ind w:firstLine="480" w:firstLineChars="200"/>
        <w:rPr>
          <w:rFonts w:ascii="宋体" w:hAnsi="宋体" w:eastAsia="宋体" w:cs="宋体"/>
          <w:bCs w:val="0"/>
          <w:szCs w:val="24"/>
          <w:highlight w:val="none"/>
        </w:rPr>
      </w:pPr>
      <w:r>
        <w:rPr>
          <w:rFonts w:hint="eastAsia" w:ascii="宋体" w:hAnsi="宋体" w:eastAsia="宋体" w:cs="宋体"/>
          <w:bCs w:val="0"/>
          <w:szCs w:val="24"/>
          <w:highlight w:val="none"/>
        </w:rPr>
        <w:t>二、词语限定</w:t>
      </w:r>
    </w:p>
    <w:p w14:paraId="2AEFC3D3">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协议书中相关词语的含义与通用条件中的定义与解释相同。</w:t>
      </w:r>
    </w:p>
    <w:p w14:paraId="4B385077">
      <w:pPr>
        <w:pStyle w:val="4"/>
        <w:spacing w:before="0" w:after="0" w:line="500" w:lineRule="exact"/>
        <w:ind w:firstLine="480" w:firstLineChars="200"/>
        <w:rPr>
          <w:rFonts w:ascii="宋体" w:hAnsi="宋体" w:eastAsia="宋体" w:cs="宋体"/>
          <w:bCs w:val="0"/>
          <w:szCs w:val="24"/>
          <w:highlight w:val="none"/>
        </w:rPr>
      </w:pPr>
      <w:r>
        <w:rPr>
          <w:rFonts w:hint="eastAsia" w:ascii="宋体" w:hAnsi="宋体" w:eastAsia="宋体" w:cs="宋体"/>
          <w:bCs w:val="0"/>
          <w:szCs w:val="24"/>
          <w:highlight w:val="none"/>
        </w:rPr>
        <w:t>三、组成本合同的文件</w:t>
      </w:r>
    </w:p>
    <w:p w14:paraId="4A73C4C4">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1. 协议书；</w:t>
      </w:r>
    </w:p>
    <w:p w14:paraId="56505D62">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2. 中标通知书；</w:t>
      </w:r>
    </w:p>
    <w:p w14:paraId="641B4BB2">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3. 投标文件；</w:t>
      </w:r>
    </w:p>
    <w:p w14:paraId="0633D65E">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4. 专用条件；</w:t>
      </w:r>
    </w:p>
    <w:p w14:paraId="0DB37A71">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5. 通用条件；</w:t>
      </w:r>
    </w:p>
    <w:p w14:paraId="396CED8F">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本合同签订后，双方依法签订的补充协议也是本合同文件的组成部分。</w:t>
      </w:r>
    </w:p>
    <w:p w14:paraId="610CBE09">
      <w:pPr>
        <w:pStyle w:val="4"/>
        <w:spacing w:before="0" w:after="0" w:line="500" w:lineRule="exact"/>
        <w:ind w:firstLine="480" w:firstLineChars="200"/>
        <w:rPr>
          <w:rFonts w:ascii="宋体" w:hAnsi="宋体" w:eastAsia="宋体" w:cs="宋体"/>
          <w:sz w:val="24"/>
          <w:highlight w:val="none"/>
        </w:rPr>
      </w:pPr>
      <w:r>
        <w:rPr>
          <w:rFonts w:hint="eastAsia" w:ascii="宋体" w:hAnsi="宋体" w:eastAsia="宋体" w:cs="宋体"/>
          <w:bCs w:val="0"/>
          <w:szCs w:val="24"/>
          <w:highlight w:val="none"/>
        </w:rPr>
        <w:t>四、</w:t>
      </w:r>
      <w:r>
        <w:rPr>
          <w:rFonts w:hint="eastAsia" w:ascii="宋体" w:hAnsi="宋体" w:eastAsia="宋体" w:cs="宋体"/>
          <w:sz w:val="24"/>
          <w:highlight w:val="none"/>
        </w:rPr>
        <w:t>监理</w:t>
      </w:r>
      <w:r>
        <w:rPr>
          <w:rFonts w:hint="eastAsia" w:ascii="宋体" w:hAnsi="宋体" w:eastAsia="宋体" w:cs="宋体"/>
          <w:sz w:val="24"/>
          <w:highlight w:val="none"/>
          <w:lang w:val="en-US" w:eastAsia="zh-CN"/>
        </w:rPr>
        <w:t>人员</w:t>
      </w:r>
      <w:r>
        <w:rPr>
          <w:rFonts w:hint="eastAsia" w:ascii="宋体" w:hAnsi="宋体" w:eastAsia="宋体" w:cs="宋体"/>
          <w:sz w:val="24"/>
          <w:highlight w:val="none"/>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，身份证号码：</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联系方式</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38692BB0">
      <w:pPr>
        <w:pStyle w:val="4"/>
        <w:spacing w:before="0" w:after="0" w:line="500" w:lineRule="exact"/>
        <w:ind w:firstLine="480" w:firstLineChars="200"/>
        <w:rPr>
          <w:rFonts w:ascii="宋体" w:hAnsi="宋体" w:eastAsia="宋体" w:cs="宋体"/>
          <w:bCs w:val="0"/>
          <w:szCs w:val="24"/>
          <w:highlight w:val="none"/>
        </w:rPr>
      </w:pPr>
      <w:r>
        <w:rPr>
          <w:rFonts w:hint="eastAsia" w:ascii="宋体" w:hAnsi="宋体" w:eastAsia="宋体" w:cs="宋体"/>
          <w:bCs w:val="0"/>
          <w:szCs w:val="24"/>
          <w:highlight w:val="none"/>
        </w:rPr>
        <w:t>五、签约酬金</w:t>
      </w:r>
    </w:p>
    <w:p w14:paraId="35BDCB24">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签约酬金：</w:t>
      </w:r>
      <w:r>
        <w:rPr>
          <w:rFonts w:hint="eastAsia" w:ascii="宋体" w:hAnsi="宋体" w:eastAsia="宋体" w:cs="宋体"/>
          <w:sz w:val="24"/>
          <w:highlight w:val="none"/>
          <w:u w:val="single"/>
        </w:rPr>
        <w:t xml:space="preserve">           元 </w:t>
      </w:r>
      <w:r>
        <w:rPr>
          <w:rFonts w:hint="eastAsia" w:ascii="宋体" w:hAnsi="宋体" w:eastAsia="宋体" w:cs="宋体"/>
          <w:sz w:val="24"/>
          <w:highlight w:val="none"/>
        </w:rPr>
        <w:t>。</w:t>
      </w:r>
    </w:p>
    <w:p w14:paraId="4D26F380">
      <w:pPr>
        <w:pStyle w:val="4"/>
        <w:spacing w:before="0" w:after="0" w:line="500" w:lineRule="exact"/>
        <w:ind w:firstLine="480" w:firstLineChars="200"/>
        <w:rPr>
          <w:rFonts w:ascii="宋体" w:hAnsi="宋体" w:eastAsia="宋体" w:cs="宋体"/>
          <w:highlight w:val="none"/>
        </w:rPr>
      </w:pPr>
      <w:r>
        <w:rPr>
          <w:rFonts w:hint="eastAsia" w:ascii="宋体" w:hAnsi="宋体" w:eastAsia="宋体" w:cs="宋体"/>
          <w:szCs w:val="24"/>
          <w:highlight w:val="none"/>
        </w:rPr>
        <w:t>包括：监理酬金及所有相关服务（勘察阶段、设计阶段、施工阶段、保修阶段等其他相关服务）酬金。</w:t>
      </w:r>
    </w:p>
    <w:p w14:paraId="6A586404">
      <w:pPr>
        <w:pStyle w:val="4"/>
        <w:spacing w:before="0" w:after="0" w:line="500" w:lineRule="exact"/>
        <w:ind w:firstLine="480" w:firstLineChars="200"/>
        <w:rPr>
          <w:rFonts w:ascii="宋体" w:hAnsi="宋体" w:eastAsia="宋体" w:cs="宋体"/>
          <w:bCs w:val="0"/>
          <w:szCs w:val="24"/>
          <w:highlight w:val="none"/>
        </w:rPr>
      </w:pPr>
      <w:r>
        <w:rPr>
          <w:rFonts w:hint="eastAsia" w:ascii="宋体" w:hAnsi="宋体" w:eastAsia="宋体" w:cs="宋体"/>
          <w:bCs w:val="0"/>
          <w:szCs w:val="24"/>
          <w:highlight w:val="none"/>
        </w:rPr>
        <w:t>六、期限</w:t>
      </w:r>
    </w:p>
    <w:p w14:paraId="5C01EA95">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从监理合同签订之日起到竣工验收合格后监理资料移交为止，具体与工程施工同步，并服从工程建设进度要求，工期暂定二个月。</w:t>
      </w:r>
    </w:p>
    <w:p w14:paraId="50913D01">
      <w:pPr>
        <w:pStyle w:val="4"/>
        <w:spacing w:before="0" w:after="0" w:line="500" w:lineRule="exact"/>
        <w:ind w:firstLine="480" w:firstLineChars="200"/>
        <w:rPr>
          <w:rFonts w:ascii="宋体" w:hAnsi="宋体" w:eastAsia="宋体" w:cs="宋体"/>
          <w:bCs w:val="0"/>
          <w:szCs w:val="24"/>
          <w:highlight w:val="none"/>
        </w:rPr>
      </w:pPr>
      <w:r>
        <w:rPr>
          <w:rFonts w:hint="eastAsia" w:ascii="宋体" w:hAnsi="宋体" w:eastAsia="宋体" w:cs="宋体"/>
          <w:bCs w:val="0"/>
          <w:szCs w:val="24"/>
          <w:highlight w:val="none"/>
        </w:rPr>
        <w:t>七、双方承诺</w:t>
      </w:r>
    </w:p>
    <w:p w14:paraId="6EDE3843">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1. 监理人向委托人承诺，按照本合同约定提供监理与相关服务。</w:t>
      </w:r>
    </w:p>
    <w:p w14:paraId="5E214791">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2. 委托人向监理人承诺，按照本合同约定派遣相应的人员，提供房屋、资料、设备，并按本合同约定支付酬金。</w:t>
      </w:r>
    </w:p>
    <w:p w14:paraId="3DC36ECD">
      <w:pPr>
        <w:pStyle w:val="4"/>
        <w:spacing w:before="0" w:after="0" w:line="500" w:lineRule="exact"/>
        <w:ind w:firstLine="480" w:firstLineChars="200"/>
        <w:rPr>
          <w:rFonts w:ascii="宋体" w:hAnsi="宋体" w:eastAsia="宋体" w:cs="宋体"/>
          <w:bCs w:val="0"/>
          <w:szCs w:val="24"/>
          <w:highlight w:val="none"/>
        </w:rPr>
      </w:pPr>
      <w:r>
        <w:rPr>
          <w:rFonts w:hint="eastAsia" w:ascii="宋体" w:hAnsi="宋体" w:eastAsia="宋体" w:cs="宋体"/>
          <w:bCs w:val="0"/>
          <w:szCs w:val="24"/>
          <w:highlight w:val="none"/>
        </w:rPr>
        <w:t>八、合同订立</w:t>
      </w:r>
    </w:p>
    <w:p w14:paraId="0D7E823F">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1. 订立时间：</w:t>
      </w:r>
      <w:r>
        <w:rPr>
          <w:rFonts w:hint="eastAsia" w:ascii="宋体" w:hAnsi="宋体" w:eastAsia="宋体" w:cs="宋体"/>
          <w:sz w:val="24"/>
          <w:highlight w:val="none"/>
          <w:u w:val="single"/>
          <w:lang w:val="en-US" w:eastAsia="zh-CN"/>
        </w:rPr>
        <w:t>2026</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49576136">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2. 订立地点：</w:t>
      </w:r>
      <w:r>
        <w:rPr>
          <w:rFonts w:hint="eastAsia" w:ascii="宋体" w:hAnsi="宋体" w:eastAsia="宋体" w:cs="宋体"/>
          <w:sz w:val="24"/>
          <w:highlight w:val="none"/>
          <w:u w:val="single"/>
        </w:rPr>
        <w:t>江苏盐城</w:t>
      </w:r>
      <w:r>
        <w:rPr>
          <w:rFonts w:hint="eastAsia" w:ascii="宋体" w:hAnsi="宋体" w:eastAsia="宋体" w:cs="宋体"/>
          <w:sz w:val="24"/>
          <w:highlight w:val="none"/>
        </w:rPr>
        <w:t>。</w:t>
      </w:r>
    </w:p>
    <w:p w14:paraId="3839228B">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3. 本合同一式</w:t>
      </w:r>
      <w:r>
        <w:rPr>
          <w:rFonts w:hint="eastAsia" w:ascii="宋体" w:hAnsi="宋体" w:eastAsia="宋体" w:cs="宋体"/>
          <w:sz w:val="24"/>
          <w:highlight w:val="none"/>
          <w:u w:val="single"/>
        </w:rPr>
        <w:t xml:space="preserve"> 陆 </w:t>
      </w:r>
      <w:r>
        <w:rPr>
          <w:rFonts w:hint="eastAsia" w:ascii="宋体" w:hAnsi="宋体" w:eastAsia="宋体" w:cs="宋体"/>
          <w:sz w:val="24"/>
          <w:highlight w:val="none"/>
        </w:rPr>
        <w:t>份，具有同等法律效力，甲方执</w:t>
      </w:r>
      <w:r>
        <w:rPr>
          <w:rFonts w:hint="eastAsia" w:ascii="宋体" w:hAnsi="宋体" w:eastAsia="宋体" w:cs="宋体"/>
          <w:sz w:val="24"/>
          <w:highlight w:val="none"/>
          <w:u w:val="single"/>
        </w:rPr>
        <w:t xml:space="preserve"> 肆 </w:t>
      </w:r>
      <w:r>
        <w:rPr>
          <w:rFonts w:hint="eastAsia" w:ascii="宋体" w:hAnsi="宋体" w:eastAsia="宋体" w:cs="宋体"/>
          <w:sz w:val="24"/>
          <w:highlight w:val="none"/>
        </w:rPr>
        <w:t>份，乙方执</w:t>
      </w:r>
      <w:r>
        <w:rPr>
          <w:rFonts w:hint="eastAsia" w:ascii="宋体" w:hAnsi="宋体" w:eastAsia="宋体" w:cs="宋体"/>
          <w:sz w:val="24"/>
          <w:highlight w:val="none"/>
          <w:u w:val="single"/>
        </w:rPr>
        <w:t xml:space="preserve"> 贰 </w:t>
      </w:r>
      <w:r>
        <w:rPr>
          <w:rFonts w:hint="eastAsia" w:ascii="宋体" w:hAnsi="宋体" w:eastAsia="宋体" w:cs="宋体"/>
          <w:sz w:val="24"/>
          <w:highlight w:val="none"/>
        </w:rPr>
        <w:t>份。</w:t>
      </w:r>
    </w:p>
    <w:p w14:paraId="02EF04BE">
      <w:pPr>
        <w:spacing w:line="500" w:lineRule="exact"/>
        <w:ind w:firstLine="480" w:firstLineChars="200"/>
        <w:rPr>
          <w:rFonts w:ascii="宋体" w:hAnsi="宋体" w:eastAsia="宋体" w:cs="宋体"/>
          <w:sz w:val="24"/>
          <w:highlight w:val="none"/>
        </w:rPr>
      </w:pPr>
    </w:p>
    <w:p w14:paraId="2695A320">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委托人：（盖章）                 监理人：（盖章）    </w:t>
      </w:r>
    </w:p>
    <w:p w14:paraId="559FBBA6">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住所：                          住所：                       </w:t>
      </w:r>
    </w:p>
    <w:p w14:paraId="6BEEA28C">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邮政编码：                      邮政编码：                  </w:t>
      </w:r>
    </w:p>
    <w:p w14:paraId="3CDECD7F">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法定代表人或其授权              法定代表人或其授权</w:t>
      </w:r>
    </w:p>
    <w:p w14:paraId="4A7E45B2">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的代理人：（签字）               的代理人：（签字）          </w:t>
      </w:r>
    </w:p>
    <w:p w14:paraId="69449F38">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开户银行：                      开户银行：            </w:t>
      </w:r>
    </w:p>
    <w:p w14:paraId="089D1438">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账号：                          账号：                </w:t>
      </w:r>
    </w:p>
    <w:p w14:paraId="0D1D58E7">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电话：                          电话：                </w:t>
      </w:r>
    </w:p>
    <w:p w14:paraId="1D9F8D06">
      <w:pPr>
        <w:spacing w:line="500" w:lineRule="exact"/>
        <w:ind w:firstLine="480" w:firstLineChars="200"/>
        <w:rPr>
          <w:rFonts w:ascii="宋体" w:hAnsi="宋体" w:eastAsia="宋体" w:cs="宋体"/>
          <w:highlight w:val="none"/>
        </w:rPr>
      </w:pPr>
      <w:r>
        <w:rPr>
          <w:rFonts w:hint="eastAsia" w:ascii="宋体" w:hAnsi="宋体" w:eastAsia="宋体" w:cs="宋体"/>
          <w:sz w:val="24"/>
          <w:highlight w:val="none"/>
        </w:rPr>
        <w:t xml:space="preserve">传真：                          传真：                   </w:t>
      </w:r>
      <w:r>
        <w:rPr>
          <w:rFonts w:hint="eastAsia" w:ascii="宋体" w:hAnsi="宋体" w:eastAsia="宋体" w:cs="宋体"/>
          <w:highlight w:val="none"/>
        </w:rPr>
        <w:t xml:space="preserve">     </w:t>
      </w:r>
    </w:p>
    <w:p w14:paraId="0CF1DECC">
      <w:pPr>
        <w:pStyle w:val="3"/>
        <w:spacing w:line="360" w:lineRule="auto"/>
        <w:jc w:val="center"/>
        <w:rPr>
          <w:rFonts w:ascii="宋体" w:hAnsi="宋体" w:eastAsia="宋体" w:cs="宋体"/>
          <w:sz w:val="36"/>
          <w:szCs w:val="36"/>
          <w:highlight w:val="none"/>
        </w:rPr>
      </w:pPr>
      <w:r>
        <w:rPr>
          <w:rFonts w:hint="eastAsia" w:ascii="宋体" w:hAnsi="宋体" w:eastAsia="宋体" w:cs="宋体"/>
          <w:sz w:val="36"/>
          <w:szCs w:val="36"/>
          <w:highlight w:val="none"/>
        </w:rPr>
        <w:br w:type="page"/>
      </w:r>
      <w:r>
        <w:rPr>
          <w:rFonts w:hint="eastAsia" w:ascii="宋体" w:hAnsi="宋体" w:eastAsia="宋体" w:cs="宋体"/>
          <w:sz w:val="36"/>
          <w:szCs w:val="36"/>
          <w:highlight w:val="none"/>
        </w:rPr>
        <w:t>第二部分  通用条件</w:t>
      </w:r>
    </w:p>
    <w:p w14:paraId="35FCF3C1">
      <w:pPr>
        <w:adjustRightInd w:val="0"/>
        <w:snapToGrid w:val="0"/>
        <w:spacing w:line="500" w:lineRule="exact"/>
        <w:ind w:firstLine="480" w:firstLineChars="200"/>
        <w:jc w:val="center"/>
        <w:rPr>
          <w:rFonts w:ascii="宋体" w:hAnsi="宋体" w:eastAsia="宋体" w:cs="宋体"/>
          <w:sz w:val="24"/>
          <w:highlight w:val="none"/>
        </w:rPr>
      </w:pPr>
      <w:r>
        <w:rPr>
          <w:rFonts w:hint="eastAsia" w:ascii="宋体" w:hAnsi="宋体" w:eastAsia="宋体" w:cs="宋体"/>
          <w:sz w:val="24"/>
          <w:highlight w:val="none"/>
        </w:rPr>
        <w:t>同(GF-2012-0202)建设工程监理合同中第二部分 通用条件</w:t>
      </w:r>
    </w:p>
    <w:p w14:paraId="441FFD11">
      <w:pPr>
        <w:pStyle w:val="3"/>
        <w:spacing w:line="360" w:lineRule="auto"/>
        <w:jc w:val="center"/>
        <w:rPr>
          <w:rFonts w:ascii="宋体" w:hAnsi="宋体" w:eastAsia="宋体" w:cs="宋体"/>
          <w:highlight w:val="none"/>
        </w:rPr>
      </w:pPr>
      <w:r>
        <w:rPr>
          <w:rFonts w:hint="eastAsia" w:ascii="宋体" w:hAnsi="宋体" w:eastAsia="宋体" w:cs="宋体"/>
          <w:sz w:val="36"/>
          <w:szCs w:val="36"/>
          <w:highlight w:val="none"/>
        </w:rPr>
        <w:t>第三部分  专用条件</w:t>
      </w:r>
    </w:p>
    <w:p w14:paraId="1A3C59BB">
      <w:pPr>
        <w:pStyle w:val="4"/>
        <w:spacing w:before="0" w:after="0" w:line="440" w:lineRule="exact"/>
        <w:ind w:firstLine="480" w:firstLineChars="200"/>
        <w:rPr>
          <w:rFonts w:ascii="宋体" w:hAnsi="宋体" w:eastAsia="宋体" w:cs="宋体"/>
          <w:szCs w:val="24"/>
          <w:highlight w:val="none"/>
        </w:rPr>
      </w:pPr>
      <w:bookmarkStart w:id="1" w:name="_Toc398107910"/>
      <w:r>
        <w:rPr>
          <w:rFonts w:hint="eastAsia" w:ascii="宋体" w:hAnsi="宋体" w:eastAsia="宋体" w:cs="宋体"/>
          <w:szCs w:val="24"/>
          <w:highlight w:val="none"/>
        </w:rPr>
        <w:t>1. 定义与解释</w:t>
      </w:r>
      <w:bookmarkEnd w:id="1"/>
    </w:p>
    <w:p w14:paraId="184B2BA2">
      <w:pPr>
        <w:adjustRightInd w:val="0"/>
        <w:snapToGrid w:val="0"/>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1.2  解释</w:t>
      </w:r>
    </w:p>
    <w:p w14:paraId="16D5B162">
      <w:pPr>
        <w:adjustRightInd w:val="0"/>
        <w:snapToGrid w:val="0"/>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1.2.1 本合同文件除使用中文外，还可用</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1F02B3AD">
      <w:pPr>
        <w:adjustRightInd w:val="0"/>
        <w:snapToGrid w:val="0"/>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1.2.2 约定本合同文件的解释顺序为：</w:t>
      </w:r>
      <w:r>
        <w:rPr>
          <w:rFonts w:hint="eastAsia" w:ascii="宋体" w:hAnsi="宋体" w:eastAsia="宋体" w:cs="宋体"/>
          <w:sz w:val="24"/>
          <w:szCs w:val="24"/>
          <w:highlight w:val="none"/>
          <w:u w:val="single"/>
        </w:rPr>
        <w:t>（1）本合同协议书；（2）中标通知书；（3）本合同专用条款；（4）招标文件、投标书及其附件；（5）本合同通用条款；（6）标准、规范及有关技术文件。合同履行中，委托人承包人有关工程的洽商、变更等书面协议或文件视为本合同专用条款的组成部分。若对同一问题合同文件出现矛盾和含糊，则以时间在后的文件或条款为准。</w:t>
      </w:r>
    </w:p>
    <w:p w14:paraId="45B3BABB">
      <w:pPr>
        <w:pStyle w:val="4"/>
        <w:spacing w:before="0" w:after="0" w:line="440" w:lineRule="exact"/>
        <w:ind w:firstLine="480" w:firstLineChars="200"/>
        <w:rPr>
          <w:rFonts w:ascii="宋体" w:hAnsi="宋体" w:eastAsia="宋体" w:cs="宋体"/>
          <w:szCs w:val="24"/>
          <w:highlight w:val="none"/>
        </w:rPr>
      </w:pPr>
      <w:bookmarkStart w:id="2" w:name="_Toc398107911"/>
      <w:r>
        <w:rPr>
          <w:rFonts w:hint="eastAsia" w:ascii="宋体" w:hAnsi="宋体" w:eastAsia="宋体" w:cs="宋体"/>
          <w:szCs w:val="24"/>
          <w:highlight w:val="none"/>
        </w:rPr>
        <w:t>2. 监理人义务</w:t>
      </w:r>
      <w:bookmarkEnd w:id="2"/>
    </w:p>
    <w:p w14:paraId="1B0F6B55">
      <w:pPr>
        <w:adjustRightInd w:val="0"/>
        <w:snapToGrid w:val="0"/>
        <w:spacing w:line="4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 监理的范围和</w:t>
      </w:r>
      <w:r>
        <w:rPr>
          <w:rFonts w:hint="eastAsia" w:ascii="宋体" w:hAnsi="宋体" w:eastAsia="宋体" w:cs="宋体"/>
          <w:bCs/>
          <w:sz w:val="24"/>
          <w:szCs w:val="24"/>
          <w:highlight w:val="none"/>
        </w:rPr>
        <w:t>内容</w:t>
      </w:r>
    </w:p>
    <w:p w14:paraId="399555B9">
      <w:pPr>
        <w:pStyle w:val="20"/>
        <w:spacing w:line="360" w:lineRule="auto"/>
        <w:ind w:firstLine="480" w:firstLineChars="200"/>
        <w:rPr>
          <w:rFonts w:hint="default" w:cs="宋体"/>
          <w:color w:val="auto"/>
          <w:kern w:val="2"/>
          <w:szCs w:val="24"/>
          <w:highlight w:val="none"/>
          <w:u w:val="single"/>
        </w:rPr>
      </w:pPr>
      <w:r>
        <w:rPr>
          <w:rFonts w:cs="宋体"/>
          <w:color w:val="auto"/>
          <w:kern w:val="2"/>
          <w:szCs w:val="24"/>
          <w:highlight w:val="none"/>
          <w:u w:val="single"/>
        </w:rPr>
        <w:t>工程监理服务的主要工作内容（包含但不限于）: 施工图纸所包含的全部内容；施工阶段质量、进度、造价控制，安全文明施工控制、合同管理、技术资料管理及协调施工现场各方关系等。</w:t>
      </w:r>
    </w:p>
    <w:p w14:paraId="31067CBD">
      <w:pPr>
        <w:spacing w:line="4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2.2 监理与相关服务依据</w:t>
      </w:r>
    </w:p>
    <w:p w14:paraId="60EC3307">
      <w:pPr>
        <w:adjustRightInd w:val="0"/>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2.2.1 监理依据包括：《中华人民共和国建筑法》、《建筑工程质量管理条例》、国标《 建设工程监理规范 GB50319-2013》、DL/T5434-2021建设工程项目监理规范、国家《 工程建设标准强制性条文》、《施工旁站监理管理办法》；以及国家、省、市批准的工程建设文件，有关工程建设的法律法规、有关工程监理实施管理办法，设计图纸、施工合同、监理合同等有关合约等，前述依据内容不一致的，以较严格者为准</w:t>
      </w:r>
      <w:r>
        <w:rPr>
          <w:rFonts w:hint="eastAsia" w:ascii="宋体" w:hAnsi="宋体" w:eastAsia="宋体" w:cs="宋体"/>
          <w:sz w:val="24"/>
          <w:szCs w:val="24"/>
          <w:highlight w:val="none"/>
        </w:rPr>
        <w:t>。</w:t>
      </w:r>
    </w:p>
    <w:p w14:paraId="606E819C">
      <w:pPr>
        <w:adjustRightInd w:val="0"/>
        <w:snapToGrid w:val="0"/>
        <w:spacing w:line="440" w:lineRule="exact"/>
        <w:ind w:firstLine="480" w:firstLineChars="200"/>
        <w:rPr>
          <w:rFonts w:ascii="宋体" w:hAnsi="宋体" w:eastAsia="宋体" w:cs="宋体"/>
          <w:dstrike/>
          <w:sz w:val="24"/>
          <w:szCs w:val="24"/>
          <w:highlight w:val="none"/>
        </w:rPr>
      </w:pPr>
      <w:r>
        <w:rPr>
          <w:rFonts w:hint="eastAsia" w:ascii="宋体" w:hAnsi="宋体" w:eastAsia="宋体" w:cs="宋体"/>
          <w:sz w:val="24"/>
          <w:szCs w:val="24"/>
          <w:highlight w:val="none"/>
        </w:rPr>
        <w:t>2.2.2 相关服务依据包括：</w:t>
      </w:r>
      <w:r>
        <w:rPr>
          <w:rFonts w:hint="eastAsia" w:ascii="宋体" w:hAnsi="宋体" w:eastAsia="宋体" w:cs="宋体"/>
          <w:sz w:val="24"/>
          <w:szCs w:val="24"/>
          <w:highlight w:val="none"/>
          <w:u w:val="single"/>
        </w:rPr>
        <w:t xml:space="preserve">  （1）相应的法律、行政法规、部门规章、委托监理工程所在地的地方性法规和政府规章；（2）委托监理工程所在地的标准和规范；（3）委托监理工程的设计图纸等技术性文件；（4）本合同以及以后所签订的补充或变更协议；（5）委托人与第三方签订的与监理服务相关的其他合同；（6）委托监理工程实施过程中有关来往函件 ，前述依据内容不一致的，以较严格者为准</w:t>
      </w:r>
      <w:r>
        <w:rPr>
          <w:rFonts w:hint="eastAsia" w:ascii="宋体" w:hAnsi="宋体" w:eastAsia="宋体" w:cs="宋体"/>
          <w:sz w:val="24"/>
          <w:szCs w:val="24"/>
          <w:highlight w:val="none"/>
        </w:rPr>
        <w:t>。</w:t>
      </w:r>
    </w:p>
    <w:p w14:paraId="0A6F375C">
      <w:pPr>
        <w:spacing w:line="440" w:lineRule="exact"/>
        <w:ind w:firstLine="480" w:firstLineChars="200"/>
        <w:rPr>
          <w:rFonts w:ascii="宋体" w:hAnsi="宋体" w:eastAsia="宋体" w:cs="宋体"/>
          <w:kern w:val="0"/>
          <w:sz w:val="24"/>
          <w:szCs w:val="24"/>
          <w:highlight w:val="none"/>
        </w:rPr>
      </w:pPr>
      <w:r>
        <w:rPr>
          <w:rFonts w:hint="eastAsia" w:ascii="宋体" w:hAnsi="宋体" w:eastAsia="宋体" w:cs="宋体"/>
          <w:sz w:val="24"/>
          <w:szCs w:val="24"/>
          <w:highlight w:val="none"/>
        </w:rPr>
        <w:t>2.3</w:t>
      </w:r>
      <w:r>
        <w:rPr>
          <w:rFonts w:hint="eastAsia" w:ascii="宋体" w:hAnsi="宋体" w:eastAsia="宋体" w:cs="宋体"/>
          <w:kern w:val="0"/>
          <w:sz w:val="24"/>
          <w:szCs w:val="24"/>
          <w:highlight w:val="none"/>
        </w:rPr>
        <w:t>项目监理机构和人员</w:t>
      </w:r>
    </w:p>
    <w:p w14:paraId="67AB774C">
      <w:pPr>
        <w:adjustRightInd w:val="0"/>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2.3.1本项目的监理机构管理人员在中标后，监理机构管理人员在合同予以明确，必须全部到施工现场参与工程监理，并接受委托人的考勤。</w:t>
      </w:r>
    </w:p>
    <w:p w14:paraId="380C8543">
      <w:pPr>
        <w:adjustRightInd w:val="0"/>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2.3.2</w:t>
      </w:r>
      <w:r>
        <w:rPr>
          <w:rFonts w:hint="eastAsia" w:ascii="宋体" w:hAnsi="宋体" w:eastAsia="宋体" w:cs="宋体"/>
          <w:sz w:val="24"/>
          <w:szCs w:val="24"/>
          <w:highlight w:val="none"/>
          <w:u w:val="single"/>
        </w:rPr>
        <w:t>中标的总监理工程师不得调换，发现总监无故脱岗</w:t>
      </w:r>
      <w:r>
        <w:rPr>
          <w:rFonts w:hint="eastAsia" w:ascii="宋体" w:hAnsi="宋体" w:eastAsia="宋体" w:cs="宋体"/>
          <w:sz w:val="24"/>
          <w:szCs w:val="24"/>
          <w:highlight w:val="none"/>
          <w:u w:val="single"/>
        </w:rPr>
        <w:t>，监理人向委托人支付2000元/次的违约金。委托人在施工期间将对总监理工程师的在岗在位率进行定期考核，如发现总监理工程师的在岗在位率低于80%（本项目要求每月驻场时间不少于24天，余同）的，委托人将对总监理工程师提出警告，监理人向委托人支付5000元/次的违约金。</w:t>
      </w:r>
      <w:r>
        <w:rPr>
          <w:rFonts w:hint="eastAsia" w:ascii="宋体" w:hAnsi="宋体" w:eastAsia="宋体" w:cs="宋体"/>
          <w:sz w:val="24"/>
          <w:szCs w:val="24"/>
          <w:highlight w:val="none"/>
          <w:u w:val="single"/>
        </w:rPr>
        <w:t>如总监理工程师的在岗在位率仍不能满足本招标文件要求，委托人有权终止合同，并拒付监理费用</w:t>
      </w:r>
      <w:r>
        <w:rPr>
          <w:rFonts w:hint="eastAsia" w:ascii="宋体" w:hAnsi="宋体" w:eastAsia="宋体" w:cs="宋体"/>
          <w:sz w:val="24"/>
          <w:szCs w:val="24"/>
          <w:highlight w:val="none"/>
          <w:u w:val="single"/>
        </w:rPr>
        <w:t>。</w:t>
      </w:r>
    </w:p>
    <w:p w14:paraId="53612F55">
      <w:pPr>
        <w:adjustRightInd w:val="0"/>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2.3.3施工期间每发现一名监理工程师不能到场参与工程监督的，监理人向委托人支付1000元/次的违约金；每发现安全员不能到场参与监督的，监理人向委托人支付500元/次的违约金；如发现专业监理工程师或安全员在岗在位率低于80%的，委托人有权终止合同，并拒付监理费用。</w:t>
      </w:r>
    </w:p>
    <w:p w14:paraId="5261C178">
      <w:pPr>
        <w:adjustRightInd w:val="0"/>
        <w:snapToGrid w:val="0"/>
        <w:spacing w:line="440" w:lineRule="exact"/>
        <w:ind w:firstLine="480" w:firstLineChars="200"/>
        <w:rPr>
          <w:rFonts w:ascii="宋体" w:hAnsi="宋体" w:eastAsia="宋体" w:cs="宋体"/>
          <w:kern w:val="0"/>
          <w:sz w:val="24"/>
          <w:szCs w:val="24"/>
          <w:highlight w:val="none"/>
        </w:rPr>
      </w:pPr>
      <w:r>
        <w:rPr>
          <w:rFonts w:hint="eastAsia" w:ascii="宋体" w:hAnsi="宋体" w:eastAsia="宋体" w:cs="宋体"/>
          <w:sz w:val="24"/>
          <w:szCs w:val="24"/>
          <w:highlight w:val="none"/>
        </w:rPr>
        <w:t xml:space="preserve">2.3.4 </w:t>
      </w:r>
      <w:r>
        <w:rPr>
          <w:rFonts w:hint="eastAsia" w:ascii="宋体" w:hAnsi="宋体" w:eastAsia="宋体" w:cs="宋体"/>
          <w:kern w:val="0"/>
          <w:sz w:val="24"/>
          <w:szCs w:val="24"/>
          <w:highlight w:val="none"/>
        </w:rPr>
        <w:t>更换监理人员的其他情形：</w:t>
      </w:r>
    </w:p>
    <w:p w14:paraId="0B480086">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1）本工程中标总监理工程师不得变更，如遇《江苏省建设工程施工项目经理部和项目监理机构主要管理人员配备办法》（苏建建管（2014）701号）第八条规定的特殊情况而必须变更的，监理人应向委托人承担总监理服务费用2%的违约责任，违约金在结算时予以扣除。如委托人认为因监理人员不到位给工程实施带来投资、质量、进度、安全隐患或因监理人员工作缺位、失职时将要求监理人更换相应监理人员。</w:t>
      </w:r>
    </w:p>
    <w:p w14:paraId="6448C5AE">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（2）</w:t>
      </w:r>
      <w:r>
        <w:rPr>
          <w:rFonts w:hint="eastAsia" w:ascii="宋体" w:hAnsi="宋体" w:eastAsia="宋体" w:cs="宋体"/>
          <w:kern w:val="0"/>
          <w:sz w:val="24"/>
          <w:szCs w:val="24"/>
          <w:highlight w:val="none"/>
          <w:u w:val="single"/>
        </w:rPr>
        <w:t>监理人必须以承诺的项目监理机构管理人员按工程进度需要进场，完成全部工程监理任务，否则委托人有权终止合同，将其清退出场</w:t>
      </w:r>
      <w:r>
        <w:rPr>
          <w:rFonts w:hint="eastAsia" w:ascii="宋体" w:hAnsi="宋体" w:eastAsia="宋体" w:cs="宋体"/>
          <w:kern w:val="0"/>
          <w:sz w:val="24"/>
          <w:szCs w:val="24"/>
          <w:highlight w:val="none"/>
          <w:u w:val="single"/>
        </w:rPr>
        <w:t>。</w:t>
      </w:r>
    </w:p>
    <w:p w14:paraId="56D49C78">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3）监理责任期内监理人必须确保投标时所确定的监理机构人员完全到位，如因特殊情况须经委托人书面同意；如未经委托人书面同意而未到场的产生的违约金从当期的监理费用中予以扣减。如因监理人员无故不到场而被扣违约金达5人次（含5人次）或因监理人原因被委托人要求更换监理人员的，扣减总监理费用的30%，并从当期监理费用中予以扣除；严重时将终止合同，并保留进一步追究监理人责任的权利。施工期间如发现总监理工程师、专业监理工程师或安全员在岗在位率低于80%的，委托人有权终止合同，并拒付监理费用。</w:t>
      </w:r>
    </w:p>
    <w:p w14:paraId="358395E4">
      <w:pPr>
        <w:spacing w:line="4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 xml:space="preserve">2.4 </w:t>
      </w:r>
      <w:r>
        <w:rPr>
          <w:rFonts w:hint="eastAsia" w:ascii="宋体" w:hAnsi="宋体" w:eastAsia="宋体" w:cs="宋体"/>
          <w:kern w:val="0"/>
          <w:sz w:val="24"/>
          <w:szCs w:val="24"/>
          <w:highlight w:val="none"/>
        </w:rPr>
        <w:t>履行职责</w:t>
      </w:r>
    </w:p>
    <w:p w14:paraId="141A0DB1">
      <w:pPr>
        <w:adjustRightInd w:val="0"/>
        <w:snapToGrid w:val="0"/>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2.4.3 对监理人的授权范围：</w:t>
      </w:r>
      <w:r>
        <w:rPr>
          <w:rFonts w:hint="eastAsia" w:ascii="宋体" w:hAnsi="宋体" w:eastAsia="宋体" w:cs="宋体"/>
          <w:sz w:val="24"/>
          <w:szCs w:val="24"/>
          <w:highlight w:val="none"/>
          <w:u w:val="single"/>
        </w:rPr>
        <w:t xml:space="preserve">三控制（投资、质量、进度）、两管理（合同、信息）、一协调（协调参建各方的关系） </w:t>
      </w:r>
      <w:r>
        <w:rPr>
          <w:rFonts w:hint="eastAsia" w:ascii="宋体" w:hAnsi="宋体" w:eastAsia="宋体" w:cs="宋体"/>
          <w:sz w:val="24"/>
          <w:szCs w:val="24"/>
          <w:highlight w:val="none"/>
        </w:rPr>
        <w:t>。</w:t>
      </w:r>
    </w:p>
    <w:p w14:paraId="468C0C2D">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监理组人员岗位职责</w:t>
      </w:r>
    </w:p>
    <w:p w14:paraId="05BC0221">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（1）总监理工程师的岗位职责：</w:t>
      </w:r>
    </w:p>
    <w:p w14:paraId="18AA4F0F">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A 确定项目监理机构人员的分工和岗位职责；</w:t>
      </w:r>
    </w:p>
    <w:p w14:paraId="58A7A639">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B 主持编写项目监理规划、审批项目监理实施细则，并负责管理项目监理机构的日常工作；</w:t>
      </w:r>
    </w:p>
    <w:p w14:paraId="32A0C641">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C 审查分包单位的资质，并提出审查意见；</w:t>
      </w:r>
    </w:p>
    <w:p w14:paraId="5CE27484">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D 检查和监督监理人员的工作，根据工程项目的进展情况可进行人员调配，对不称职的人员应调换其工作；</w:t>
      </w:r>
    </w:p>
    <w:p w14:paraId="769CE209">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E 主持监理工作会议，签发项目监理机构的文件和指令；</w:t>
      </w:r>
    </w:p>
    <w:p w14:paraId="7B987DA9">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F 审定承包单位提交的开工报告、施工组织设计、技术方案、进度计划；</w:t>
      </w:r>
    </w:p>
    <w:p w14:paraId="2419A91E">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G 审核签署承包单位的申请、支付证书和协助审核施工单位呈报的工程竣工结算；</w:t>
      </w:r>
    </w:p>
    <w:p w14:paraId="0779ACF5">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H 审查和处理工程变更；</w:t>
      </w:r>
    </w:p>
    <w:p w14:paraId="61ECEA4D">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I 主持或参与工程质量事故的调查；</w:t>
      </w:r>
    </w:p>
    <w:p w14:paraId="58E567C2">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J 调解建设单位与承包单位的合同争议、处理索赔、审批工程延期；</w:t>
      </w:r>
    </w:p>
    <w:p w14:paraId="73CA6ADE">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K 组织编写并签发监理月报、监理工作阶段报告、专题报告和项目监理工作总结；</w:t>
      </w:r>
    </w:p>
    <w:p w14:paraId="3772CE58">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L 审核签认分部工程和单位工程质量检验评定资料，审查承包单位的竣工申请，组织监理人员对待验收的工程项目进行质量检查，参与工程项目的竣工验收；</w:t>
      </w:r>
    </w:p>
    <w:p w14:paraId="4A62DE02">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M 主持整理工程项目的监理资料。</w:t>
      </w:r>
    </w:p>
    <w:p w14:paraId="4DEBDCF9">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（2）总监代表及专业监理工程师的岗位职责：</w:t>
      </w:r>
    </w:p>
    <w:p w14:paraId="6C892C06">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A 负责编制本专业的监理实施细则；</w:t>
      </w:r>
    </w:p>
    <w:p w14:paraId="656ACDC6">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B 负责本专业监理工作的具体实施；</w:t>
      </w:r>
    </w:p>
    <w:p w14:paraId="4D651ED6">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C 组织、指导、检查和监督本专业监理员的工作，当人员需要调整时，向总监理工程师提出建议；</w:t>
      </w:r>
    </w:p>
    <w:p w14:paraId="3B5CE5E3">
      <w:pPr>
        <w:adjustRightInd w:val="0"/>
        <w:snapToGrid w:val="0"/>
        <w:spacing w:line="440" w:lineRule="exact"/>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u w:val="single"/>
        </w:rPr>
        <w:t>D 审查承包单位提交的涉及本专业的计划、方案、申请、变更，并向总监理工程师提出报告；</w:t>
      </w:r>
      <w:bookmarkStart w:id="11" w:name="_GoBack"/>
      <w:bookmarkEnd w:id="11"/>
    </w:p>
    <w:p w14:paraId="75EC0FC0">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E 负责本专业分项工程验收及隐蔽工程验收；</w:t>
      </w:r>
    </w:p>
    <w:p w14:paraId="7C25343A">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F 定期向总监理工程师提交本专业监理工作实施情况报告，对重大问题及时向总监理工程师汇报和请示；根据本专业监理工作实施情况做好监理日记；负责本专业监理资料的收集、汇总及整理，参与编写监理月报；</w:t>
      </w:r>
    </w:p>
    <w:p w14:paraId="3A51A276">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G 核查进场材料、设备、构配件的原始凭证、检测报告等质量证明文件及质量情况，根据实际情况对有必要时对进场材料、设备、构配件进行平行检验,合格时予以签认；</w:t>
      </w:r>
    </w:p>
    <w:p w14:paraId="68D2596A">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H 负责本专业的工程计量工作，审核工程计量的数据和原始凭证。</w:t>
      </w:r>
    </w:p>
    <w:p w14:paraId="68BD1B76">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（3）监理员的岗位职责：</w:t>
      </w:r>
    </w:p>
    <w:p w14:paraId="39D3638C">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A 在专业监理工程师的指导下开展现场监理工作；</w:t>
      </w:r>
    </w:p>
    <w:p w14:paraId="7D9EB7FD">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B 检查承包人投入工程项目的人力、材料、主要设备及其使用、运行状况，并做好检查记录；</w:t>
      </w:r>
    </w:p>
    <w:p w14:paraId="4D0565B6">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C 复核或从施工现场直接获取工程计量的有关数据并签署原始凭证；</w:t>
      </w:r>
    </w:p>
    <w:p w14:paraId="631BDA3F">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D 按设计图及有关标准对承包单位的工艺过程或施工工序进行检查和记录，对加工制作及工序施工质量检查结果进行记录；</w:t>
      </w:r>
    </w:p>
    <w:p w14:paraId="3E9088A4">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E 旁站工作发现问题及时指出并向专业监理工程师报告；</w:t>
      </w:r>
    </w:p>
    <w:p w14:paraId="49D6C8AE">
      <w:pPr>
        <w:adjustRightInd w:val="0"/>
        <w:snapToGrid w:val="0"/>
        <w:spacing w:line="440" w:lineRule="exact"/>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u w:val="single"/>
        </w:rPr>
        <w:t>F 做好监理日记和有关的监理记录。</w:t>
      </w:r>
    </w:p>
    <w:p w14:paraId="4FDD9187">
      <w:pPr>
        <w:adjustRightInd w:val="0"/>
        <w:snapToGrid w:val="0"/>
        <w:spacing w:line="440" w:lineRule="exact"/>
        <w:ind w:firstLine="480" w:firstLineChars="200"/>
        <w:rPr>
          <w:rFonts w:ascii="宋体" w:hAnsi="宋体" w:eastAsia="宋体" w:cs="宋体"/>
          <w:sz w:val="24"/>
          <w:szCs w:val="24"/>
          <w:highlight w:val="none"/>
        </w:rPr>
      </w:pPr>
      <w:r>
        <w:rPr>
          <w:rFonts w:hint="eastAsia" w:ascii="宋体" w:hAnsi="宋体" w:eastAsia="宋体" w:cs="宋体"/>
          <w:kern w:val="0"/>
          <w:sz w:val="24"/>
          <w:szCs w:val="24"/>
          <w:highlight w:val="none"/>
        </w:rPr>
        <w:t>2.4.4 监理人有权要求承包人调换其人员</w:t>
      </w:r>
      <w:r>
        <w:rPr>
          <w:rFonts w:hint="eastAsia" w:ascii="宋体" w:hAnsi="宋体" w:eastAsia="宋体" w:cs="宋体"/>
          <w:sz w:val="24"/>
          <w:szCs w:val="24"/>
          <w:highlight w:val="none"/>
        </w:rPr>
        <w:t>的限制条件：</w:t>
      </w:r>
      <w:r>
        <w:rPr>
          <w:rFonts w:hint="eastAsia" w:ascii="宋体" w:hAnsi="宋体" w:eastAsia="宋体" w:cs="宋体"/>
          <w:sz w:val="24"/>
          <w:szCs w:val="24"/>
          <w:highlight w:val="none"/>
          <w:u w:val="single"/>
        </w:rPr>
        <w:t xml:space="preserve">  对于不称职的承包方现场管理人员，在请示委托人并经同意后调换  </w:t>
      </w:r>
      <w:r>
        <w:rPr>
          <w:rFonts w:hint="eastAsia" w:ascii="宋体" w:hAnsi="宋体" w:eastAsia="宋体" w:cs="宋体"/>
          <w:sz w:val="24"/>
          <w:szCs w:val="24"/>
          <w:highlight w:val="none"/>
        </w:rPr>
        <w:t xml:space="preserve">。  </w:t>
      </w:r>
    </w:p>
    <w:p w14:paraId="0224CB7A">
      <w:pPr>
        <w:adjustRightInd w:val="0"/>
        <w:snapToGrid w:val="0"/>
        <w:spacing w:line="440" w:lineRule="exact"/>
        <w:ind w:firstLine="480" w:firstLineChars="200"/>
        <w:outlineLvl w:val="0"/>
        <w:rPr>
          <w:rFonts w:ascii="宋体" w:hAnsi="宋体" w:eastAsia="宋体" w:cs="宋体"/>
          <w:sz w:val="24"/>
          <w:szCs w:val="24"/>
          <w:highlight w:val="none"/>
        </w:rPr>
      </w:pPr>
      <w:r>
        <w:rPr>
          <w:rFonts w:hint="eastAsia" w:ascii="宋体" w:hAnsi="宋体" w:eastAsia="宋体" w:cs="宋体"/>
          <w:kern w:val="0"/>
          <w:sz w:val="24"/>
          <w:szCs w:val="24"/>
          <w:highlight w:val="none"/>
        </w:rPr>
        <w:t xml:space="preserve">2.5 </w:t>
      </w:r>
      <w:r>
        <w:rPr>
          <w:rFonts w:hint="eastAsia" w:ascii="宋体" w:hAnsi="宋体" w:eastAsia="宋体" w:cs="宋体"/>
          <w:sz w:val="24"/>
          <w:szCs w:val="24"/>
          <w:highlight w:val="none"/>
        </w:rPr>
        <w:t>提交</w:t>
      </w:r>
      <w:r>
        <w:rPr>
          <w:rFonts w:hint="eastAsia" w:ascii="宋体" w:hAnsi="宋体" w:eastAsia="宋体" w:cs="宋体"/>
          <w:kern w:val="0"/>
          <w:sz w:val="24"/>
          <w:szCs w:val="24"/>
          <w:highlight w:val="none"/>
        </w:rPr>
        <w:t>报告</w:t>
      </w:r>
    </w:p>
    <w:p w14:paraId="589EBC38">
      <w:pPr>
        <w:adjustRightInd w:val="0"/>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监理人应提交报告的种类(</w:t>
      </w:r>
      <w:r>
        <w:rPr>
          <w:rFonts w:hint="eastAsia" w:ascii="宋体" w:hAnsi="宋体" w:eastAsia="宋体" w:cs="宋体"/>
          <w:kern w:val="0"/>
          <w:sz w:val="24"/>
          <w:szCs w:val="24"/>
          <w:highlight w:val="none"/>
        </w:rPr>
        <w:t>包括监理规划、监理月报及约定的专项报告)</w:t>
      </w:r>
      <w:r>
        <w:rPr>
          <w:rFonts w:hint="eastAsia" w:ascii="宋体" w:hAnsi="宋体" w:eastAsia="宋体" w:cs="宋体"/>
          <w:sz w:val="24"/>
          <w:szCs w:val="24"/>
          <w:highlight w:val="none"/>
        </w:rPr>
        <w:t>、时间和份数</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u w:val="single"/>
        </w:rPr>
        <w:t xml:space="preserve">  监理人应提交报告的种类(包括监理规划、监理月报及约定的专项报告)、时间和份数：</w:t>
      </w:r>
    </w:p>
    <w:p w14:paraId="5CA79353">
      <w:pPr>
        <w:adjustRightInd w:val="0"/>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(1)监理人应按国家及地方相关规定、监理规范、监理合同、相关建设工程合同等要求及时、按时完成监理周报、月报，相关内容要求全面、真实、及时、准确；</w:t>
      </w:r>
    </w:p>
    <w:p w14:paraId="23CBC5F9">
      <w:pPr>
        <w:adjustRightInd w:val="0"/>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(2)监理人须每周五提交周报、每月25日提交月报，内容要求全面、真实、及时、准确，若未按上述要求完成监理报告的，委托人有权处以每次5000元的违约罚金</w:t>
      </w:r>
      <w:r>
        <w:rPr>
          <w:rFonts w:hint="eastAsia" w:ascii="宋体" w:hAnsi="宋体" w:eastAsia="宋体" w:cs="宋体"/>
          <w:sz w:val="24"/>
          <w:szCs w:val="24"/>
          <w:highlight w:val="none"/>
        </w:rPr>
        <w:t>。</w:t>
      </w:r>
    </w:p>
    <w:p w14:paraId="5B76ADBC">
      <w:pPr>
        <w:spacing w:line="440" w:lineRule="exact"/>
        <w:ind w:firstLine="480" w:firstLineChars="200"/>
        <w:outlineLvl w:val="0"/>
        <w:rPr>
          <w:rFonts w:ascii="宋体" w:hAnsi="宋体" w:eastAsia="宋体" w:cs="宋体"/>
          <w:kern w:val="0"/>
          <w:sz w:val="24"/>
          <w:szCs w:val="24"/>
          <w:highlight w:val="none"/>
        </w:rPr>
      </w:pPr>
      <w:r>
        <w:rPr>
          <w:rFonts w:hint="eastAsia" w:ascii="宋体" w:hAnsi="宋体" w:eastAsia="宋体" w:cs="宋体"/>
          <w:kern w:val="0"/>
          <w:sz w:val="24"/>
          <w:szCs w:val="24"/>
          <w:highlight w:val="none"/>
        </w:rPr>
        <w:t>2.7 使用委托人的财产</w:t>
      </w:r>
    </w:p>
    <w:p w14:paraId="72F3DBB0">
      <w:pPr>
        <w:spacing w:line="440" w:lineRule="exact"/>
        <w:ind w:firstLine="480" w:firstLineChars="200"/>
        <w:rPr>
          <w:rFonts w:ascii="宋体" w:hAnsi="宋体" w:eastAsia="宋体" w:cs="宋体"/>
          <w:kern w:val="0"/>
          <w:sz w:val="24"/>
          <w:szCs w:val="24"/>
          <w:highlight w:val="none"/>
        </w:rPr>
      </w:pPr>
      <w:r>
        <w:rPr>
          <w:rFonts w:hint="eastAsia" w:ascii="宋体" w:hAnsi="宋体" w:eastAsia="宋体" w:cs="宋体"/>
          <w:sz w:val="24"/>
          <w:szCs w:val="24"/>
          <w:highlight w:val="none"/>
        </w:rPr>
        <w:t>由委托人无偿提供的房屋、设备的所有权属于：</w:t>
      </w:r>
      <w:r>
        <w:rPr>
          <w:rFonts w:hint="eastAsia" w:ascii="宋体" w:hAnsi="宋体" w:eastAsia="宋体" w:cs="宋体"/>
          <w:sz w:val="24"/>
          <w:szCs w:val="24"/>
          <w:highlight w:val="none"/>
          <w:u w:val="single"/>
        </w:rPr>
        <w:t xml:space="preserve"> 委托人 </w:t>
      </w:r>
      <w:r>
        <w:rPr>
          <w:rFonts w:hint="eastAsia" w:ascii="宋体" w:hAnsi="宋体" w:eastAsia="宋体" w:cs="宋体"/>
          <w:sz w:val="24"/>
          <w:szCs w:val="24"/>
          <w:highlight w:val="none"/>
        </w:rPr>
        <w:t>。</w:t>
      </w:r>
    </w:p>
    <w:p w14:paraId="103FD957">
      <w:pPr>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监理人应在本合同终止后</w:t>
      </w:r>
      <w:r>
        <w:rPr>
          <w:rFonts w:hint="eastAsia" w:ascii="宋体" w:hAnsi="宋体" w:eastAsia="宋体" w:cs="宋体"/>
          <w:sz w:val="24"/>
          <w:szCs w:val="24"/>
          <w:highlight w:val="none"/>
          <w:u w:val="single"/>
        </w:rPr>
        <w:t xml:space="preserve"> 7 </w:t>
      </w:r>
      <w:r>
        <w:rPr>
          <w:rFonts w:hint="eastAsia" w:ascii="宋体" w:hAnsi="宋体" w:eastAsia="宋体" w:cs="宋体"/>
          <w:sz w:val="24"/>
          <w:szCs w:val="24"/>
          <w:highlight w:val="none"/>
        </w:rPr>
        <w:t>天内移交委托人无偿提供的房屋、设备，移交的时间和方式为：</w:t>
      </w:r>
      <w:r>
        <w:rPr>
          <w:rFonts w:hint="eastAsia" w:ascii="宋体" w:hAnsi="宋体" w:eastAsia="宋体" w:cs="宋体"/>
          <w:sz w:val="24"/>
          <w:szCs w:val="24"/>
          <w:highlight w:val="none"/>
          <w:u w:val="single"/>
        </w:rPr>
        <w:t>项目监理机构在完成委托监理合同约定的监理工作后10天内撤离施工现场，移交时应保证委托人提供的房屋、设备完好，造成损失的监理人需予以赔偿；移交方式：双方书面确认房屋、设备状况后无争议时监理人无条件移交给委托人</w:t>
      </w:r>
      <w:r>
        <w:rPr>
          <w:rFonts w:hint="eastAsia" w:ascii="宋体" w:hAnsi="宋体" w:eastAsia="宋体" w:cs="宋体"/>
          <w:sz w:val="24"/>
          <w:szCs w:val="24"/>
          <w:highlight w:val="none"/>
        </w:rPr>
        <w:t>。</w:t>
      </w:r>
    </w:p>
    <w:p w14:paraId="7C818F61">
      <w:pPr>
        <w:spacing w:line="440" w:lineRule="exact"/>
        <w:ind w:firstLine="480" w:firstLineChars="200"/>
        <w:outlineLvl w:val="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2.8监理人的其它义务：</w:t>
      </w:r>
    </w:p>
    <w:p w14:paraId="116685F6">
      <w:pPr>
        <w:spacing w:line="440" w:lineRule="exact"/>
        <w:ind w:firstLine="480" w:firstLineChars="200"/>
        <w:outlineLvl w:val="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2.8.1 监理人按招标文件及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14:paraId="252DDC73">
      <w:pPr>
        <w:spacing w:line="440" w:lineRule="exact"/>
        <w:ind w:firstLine="482" w:firstLineChars="200"/>
        <w:outlineLvl w:val="0"/>
        <w:rPr>
          <w:rFonts w:ascii="宋体" w:hAnsi="宋体" w:eastAsia="宋体" w:cs="宋体"/>
          <w:b/>
          <w:bCs/>
          <w:kern w:val="0"/>
          <w:sz w:val="24"/>
          <w:szCs w:val="24"/>
          <w:highlight w:val="none"/>
          <w:u w:val="single"/>
        </w:rPr>
      </w:pPr>
      <w:r>
        <w:rPr>
          <w:rFonts w:hint="eastAsia" w:ascii="宋体" w:hAnsi="宋体" w:eastAsia="宋体" w:cs="宋体"/>
          <w:b/>
          <w:bCs/>
          <w:kern w:val="0"/>
          <w:sz w:val="24"/>
          <w:szCs w:val="24"/>
          <w:highlight w:val="none"/>
          <w:u w:val="single"/>
        </w:rPr>
        <w:t>监理工作要求</w:t>
      </w:r>
    </w:p>
    <w:p w14:paraId="6B6EF673">
      <w:pPr>
        <w:spacing w:line="440" w:lineRule="exact"/>
        <w:ind w:firstLine="482" w:firstLineChars="200"/>
        <w:outlineLvl w:val="0"/>
        <w:rPr>
          <w:rFonts w:ascii="宋体" w:hAnsi="宋体" w:eastAsia="宋体" w:cs="宋体"/>
          <w:b/>
          <w:bCs/>
          <w:kern w:val="0"/>
          <w:sz w:val="24"/>
          <w:szCs w:val="24"/>
          <w:highlight w:val="none"/>
          <w:u w:val="single"/>
        </w:rPr>
      </w:pPr>
      <w:r>
        <w:rPr>
          <w:rFonts w:hint="eastAsia" w:ascii="宋体" w:hAnsi="宋体" w:eastAsia="宋体" w:cs="宋体"/>
          <w:b/>
          <w:bCs/>
          <w:kern w:val="0"/>
          <w:sz w:val="24"/>
          <w:szCs w:val="24"/>
          <w:highlight w:val="none"/>
          <w:u w:val="single"/>
        </w:rPr>
        <w:t>（一）前期准备阶段</w:t>
      </w:r>
    </w:p>
    <w:p w14:paraId="1AF18F58">
      <w:pPr>
        <w:spacing w:line="440" w:lineRule="exact"/>
        <w:ind w:firstLine="480" w:firstLineChars="200"/>
        <w:outlineLvl w:val="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A 协助业主制定招标规划、编审招标文件，参与工程招标、标前会及现场考察、合同谈判、签订工作。</w:t>
      </w:r>
    </w:p>
    <w:p w14:paraId="4014D64C">
      <w:pPr>
        <w:spacing w:line="440" w:lineRule="exact"/>
        <w:ind w:firstLine="480" w:firstLineChars="200"/>
        <w:outlineLvl w:val="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B 协助发包人编制勘察要求、选择勘察单位，核查勘察方案并监督实施和进行相应的控制，参与验收勘察成果。</w:t>
      </w:r>
    </w:p>
    <w:p w14:paraId="7A6DE557">
      <w:pPr>
        <w:spacing w:line="440" w:lineRule="exact"/>
        <w:ind w:firstLine="480" w:firstLineChars="200"/>
        <w:outlineLvl w:val="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C 协助发包人编制设计要求、选择设计单位，组织评选设计方案，对各设计单位进行协调管理，监督合同履行，审查设计进度计划并监督实施，核查设计大纲和设计深度、使用技术规范合理性，提出设计评估报告（包括各阶段设计的核查意见和优化建议），协助审核设计概算。</w:t>
      </w:r>
    </w:p>
    <w:p w14:paraId="65044299">
      <w:pPr>
        <w:spacing w:line="440" w:lineRule="exact"/>
        <w:ind w:firstLine="480" w:firstLineChars="200"/>
        <w:outlineLvl w:val="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D 负责项目开工前期的资料的办理、收集工作，协助业主编写开工报告，协助办理施工许可证等手续。</w:t>
      </w:r>
    </w:p>
    <w:p w14:paraId="6F7BDB7E">
      <w:pPr>
        <w:spacing w:line="440" w:lineRule="exact"/>
        <w:ind w:firstLine="480" w:firstLineChars="200"/>
        <w:outlineLvl w:val="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E安排专人负责方案设计阶段、施工图设计阶段与设计院的对接工作，并负责收取、整理、发放设计成果及施工图纸。</w:t>
      </w:r>
    </w:p>
    <w:p w14:paraId="7DA070E6">
      <w:pPr>
        <w:spacing w:line="440" w:lineRule="exact"/>
        <w:ind w:firstLine="480" w:firstLineChars="200"/>
        <w:outlineLvl w:val="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F安排专人负责工程全过程的行政手续办理、图审等工作，直至取得房产证等手续。</w:t>
      </w:r>
    </w:p>
    <w:p w14:paraId="0F1818C6">
      <w:pPr>
        <w:spacing w:line="440" w:lineRule="exact"/>
        <w:ind w:firstLine="482" w:firstLineChars="200"/>
        <w:outlineLvl w:val="0"/>
        <w:rPr>
          <w:rFonts w:ascii="宋体" w:hAnsi="宋体" w:eastAsia="宋体" w:cs="宋体"/>
          <w:b/>
          <w:bCs/>
          <w:kern w:val="0"/>
          <w:sz w:val="24"/>
          <w:szCs w:val="24"/>
          <w:highlight w:val="none"/>
          <w:u w:val="single"/>
        </w:rPr>
      </w:pPr>
      <w:r>
        <w:rPr>
          <w:rFonts w:hint="eastAsia" w:ascii="宋体" w:hAnsi="宋体" w:eastAsia="宋体" w:cs="宋体"/>
          <w:b/>
          <w:bCs/>
          <w:kern w:val="0"/>
          <w:sz w:val="24"/>
          <w:szCs w:val="24"/>
          <w:highlight w:val="none"/>
          <w:u w:val="single"/>
        </w:rPr>
        <w:t>（二）施工阶段</w:t>
      </w:r>
    </w:p>
    <w:p w14:paraId="2A7B2917">
      <w:pPr>
        <w:spacing w:line="440" w:lineRule="exact"/>
        <w:ind w:firstLine="480" w:firstLineChars="200"/>
        <w:outlineLvl w:val="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A 质量控制。工程质量是整个工程的核心,与投资、进度、安全既对立又统一，所以监理人必须以工程质量为中心，严格执行国家及各级政府颁发的现行规范、规程、标准、合同和设计文件等内容，保证工程质量达到国家合格质量标准。质量控制分为事前控制、事中控制和事后控制，其中重点应是质量的事前控制。</w:t>
      </w:r>
    </w:p>
    <w:p w14:paraId="51E423EE">
      <w:pPr>
        <w:spacing w:line="440" w:lineRule="exact"/>
        <w:ind w:firstLine="480" w:firstLineChars="200"/>
        <w:outlineLvl w:val="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①质量的事前控制</w:t>
      </w:r>
    </w:p>
    <w:p w14:paraId="384353BA">
      <w:pPr>
        <w:spacing w:line="440" w:lineRule="exact"/>
        <w:ind w:firstLine="480" w:firstLineChars="200"/>
        <w:outlineLvl w:val="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监理人员掌握和熟悉质量控制的技术依据 ,包括设计图纸设计说明书、建筑工程施工质量验收统一标准及各工程施工质量验收规范、组织设计技术交底及图纸会审、有关工程质量的规定、施工场地质检验收、现场定位轴线及高程标桩的测量验收、检查施工单位的主要技术负责人及各职能人员是否到位。施工技术人员及特殊工种操作人员的上岗证、工程所需原材料半成品的质量控制、所有设备在安装前按技术说明书的要求进行质量检查、审查施工单位提交的施工组织设计或施工方案。</w:t>
      </w:r>
    </w:p>
    <w:p w14:paraId="09EFE07D">
      <w:pPr>
        <w:spacing w:line="440" w:lineRule="exact"/>
        <w:ind w:firstLine="480" w:firstLineChars="200"/>
        <w:outlineLvl w:val="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②质量的事中控制</w:t>
      </w:r>
    </w:p>
    <w:p w14:paraId="5283CDB0">
      <w:pPr>
        <w:spacing w:line="440" w:lineRule="exact"/>
        <w:ind w:firstLine="480" w:firstLineChars="200"/>
        <w:outlineLvl w:val="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监理人应针对监理项目的具体情况，制定工艺过程的质量控制手段：（1）工序交接检查。监理人应坚持上道工序不经过检查验收不准进行下道工序的原则。上道工序完工，核验合格后方能进行下道工序施工。（2）隐蔽工程检查验收。隐蔽工程完成后,现场监理工程师必须检查验收并签署明确意见。凡涉及质量、技术问题的处理结果具有法律效力的最后签证，只能由项目总监理工程师一人签署并以书面为据；专业监理工程师、现场监理员可在有关质量、技术方面原始凭证上签署，最后由项目总监理工程师核签后方才有效。</w:t>
      </w:r>
    </w:p>
    <w:p w14:paraId="2576AE35">
      <w:pPr>
        <w:spacing w:line="440" w:lineRule="exact"/>
        <w:ind w:firstLine="480" w:firstLineChars="200"/>
        <w:outlineLvl w:val="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③质量的事后控制</w:t>
      </w:r>
    </w:p>
    <w:p w14:paraId="5505F5DA">
      <w:pPr>
        <w:spacing w:line="440" w:lineRule="exact"/>
        <w:ind w:firstLine="480" w:firstLineChars="200"/>
        <w:outlineLvl w:val="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组织单位、单项工程竣工验收；项目竣工验收；监理工作的工程技术文件资料并编目建档，移交委托人。</w:t>
      </w:r>
    </w:p>
    <w:p w14:paraId="60B59ACA">
      <w:pPr>
        <w:spacing w:line="440" w:lineRule="exact"/>
        <w:ind w:firstLine="480" w:firstLineChars="200"/>
        <w:outlineLvl w:val="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④监理人应对照监理规范，采取旁站、巡视、平行检验、试验检测等立体手段加强对工程质量的控制，施工单位的重点部位施工计划应及时向监理人书面报送，监理人的旁站具体人员应书面向委托人报送，如果现场旁站监理人员缺岗一次，罚款500元；重点部位发生明显偏差或明显不符合要求以及不合格的，发现一次罚款1000元；分部分项工程或重要部位经质量监督有权部门抽检有一次不合格，扣减监理费用的 10%；如果工程竣工验收不合格按国家有关规定处理。</w:t>
      </w:r>
    </w:p>
    <w:p w14:paraId="3200151F">
      <w:pPr>
        <w:spacing w:line="440" w:lineRule="exact"/>
        <w:ind w:firstLine="482" w:firstLineChars="200"/>
        <w:outlineLvl w:val="0"/>
        <w:rPr>
          <w:rFonts w:ascii="宋体" w:hAnsi="宋体" w:eastAsia="宋体" w:cs="宋体"/>
          <w:b/>
          <w:bCs/>
          <w:kern w:val="0"/>
          <w:sz w:val="24"/>
          <w:szCs w:val="24"/>
          <w:highlight w:val="none"/>
          <w:u w:val="single"/>
        </w:rPr>
      </w:pPr>
      <w:r>
        <w:rPr>
          <w:rFonts w:hint="eastAsia" w:ascii="宋体" w:hAnsi="宋体" w:eastAsia="宋体" w:cs="宋体"/>
          <w:b/>
          <w:bCs/>
          <w:kern w:val="0"/>
          <w:sz w:val="24"/>
          <w:szCs w:val="24"/>
          <w:highlight w:val="none"/>
          <w:u w:val="single"/>
        </w:rPr>
        <w:t>B投资控制。</w:t>
      </w:r>
    </w:p>
    <w:p w14:paraId="483702A7">
      <w:pPr>
        <w:spacing w:line="440" w:lineRule="exact"/>
        <w:ind w:firstLine="480" w:firstLineChars="200"/>
        <w:outlineLvl w:val="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①投资的事前控制。熟悉设计图纸、设计要求、标底标书、分析合同价构成因素,明确工程费用最易突破的部分和环节,从而明确投资控制的重点，预测工程风险和可能发生的索赔诱因、制定防范性对策，减少向业主索赔的发生、协助业主及时提供设计图纸等技术资料,不要违约造成索赔条件。</w:t>
      </w:r>
    </w:p>
    <w:p w14:paraId="016DA9F2">
      <w:pPr>
        <w:spacing w:line="440" w:lineRule="exact"/>
        <w:ind w:firstLine="480" w:firstLineChars="200"/>
        <w:outlineLvl w:val="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②投资的事中控制。工程变更、设计修改要慎重，协助委托人事前进行技术经济合理性预分析；严格经费签证。凡涉及经济费用支出的停工、窝工、用工等签证、使用机械签证、材料代用、材料调价的签证，必须征得委托人同意后核签；按合同规定，及时对已完工程计量验方；及时掌握国家调价的范围和幅度；检查、监督施工单位执行合同情况，使其全面履约；定期向业主报告工程投资动态状况。</w:t>
      </w:r>
    </w:p>
    <w:p w14:paraId="671D6441">
      <w:pPr>
        <w:spacing w:line="440" w:lineRule="exact"/>
        <w:ind w:firstLine="480" w:firstLineChars="200"/>
        <w:outlineLvl w:val="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③本工程投资控制应包含（但不限于）工程月形象进度的计量、季度形象进度的计量、半年度形象进度的计量、年度工程结算的审核。监理服务单位对月形象进度的计量、半年工程结算的审核的准确率应不低于96%（根据审计结论考核），如达不到该准确率委托人可根据实际准确率对监理人处以监理费总价1%-2%的违约金。</w:t>
      </w:r>
    </w:p>
    <w:p w14:paraId="6D9C0C6B">
      <w:pPr>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kern w:val="0"/>
          <w:sz w:val="24"/>
          <w:szCs w:val="24"/>
          <w:highlight w:val="none"/>
          <w:u w:val="single"/>
        </w:rPr>
        <w:t>④</w:t>
      </w:r>
      <w:r>
        <w:rPr>
          <w:rFonts w:hint="eastAsia" w:ascii="宋体" w:hAnsi="宋体" w:eastAsia="宋体" w:cs="宋体"/>
          <w:sz w:val="24"/>
          <w:szCs w:val="24"/>
          <w:highlight w:val="none"/>
          <w:u w:val="single"/>
        </w:rPr>
        <w:t>投资的事后控制。协助审核施工单位提交的工程结算书、公正地处理施工单位提出的索赔。</w:t>
      </w:r>
    </w:p>
    <w:p w14:paraId="16956560">
      <w:pPr>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kern w:val="0"/>
          <w:sz w:val="24"/>
          <w:szCs w:val="24"/>
          <w:highlight w:val="none"/>
          <w:u w:val="single"/>
        </w:rPr>
        <w:t>⑤</w:t>
      </w:r>
      <w:r>
        <w:rPr>
          <w:rFonts w:hint="eastAsia" w:ascii="宋体" w:hAnsi="宋体" w:eastAsia="宋体" w:cs="宋体"/>
          <w:sz w:val="24"/>
          <w:szCs w:val="24"/>
          <w:highlight w:val="none"/>
          <w:u w:val="single"/>
        </w:rPr>
        <w:t>监理人应明确签证责任，有代签现象的，发现一次罚款500元。</w:t>
      </w:r>
    </w:p>
    <w:p w14:paraId="7C5EDB21">
      <w:pPr>
        <w:spacing w:line="440" w:lineRule="exact"/>
        <w:ind w:firstLine="482" w:firstLineChars="200"/>
        <w:rPr>
          <w:rFonts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C进度控制。</w:t>
      </w:r>
    </w:p>
    <w:p w14:paraId="5E097739">
      <w:pPr>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对招标文件所规定的最后竣工日期，进行倒排，并逐个阶段进行控制。</w:t>
      </w:r>
    </w:p>
    <w:p w14:paraId="2C2FB7D3">
      <w:pPr>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（1）对进度的事前控制。</w:t>
      </w:r>
    </w:p>
    <w:p w14:paraId="3DABE5A1">
      <w:pPr>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①协助编制工程项目实施总进度计划；</w:t>
      </w:r>
    </w:p>
    <w:p w14:paraId="06953260">
      <w:pPr>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②对施工单位提交的施工进度计划进行把关；</w:t>
      </w:r>
    </w:p>
    <w:p w14:paraId="24BA3B08">
      <w:pPr>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③对施工单位提交的施工方案进行审核把关；</w:t>
      </w:r>
    </w:p>
    <w:p w14:paraId="1777778D">
      <w:pPr>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④协助委托人进行现场施工条件的准备。</w:t>
      </w:r>
    </w:p>
    <w:p w14:paraId="5D32274D">
      <w:pPr>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2）进度的事中控制。建立反映工程进度状况的监理日志；逐日如实记载每日形象部位及完成的实物工程量,同时记载影响工程进度的内、外、人为和自然的各种因素；对照施工单位的总体进度计划，对单位工程、单项工程的月、日进度进行控制，并形成每月工程进度报告。</w:t>
      </w:r>
    </w:p>
    <w:p w14:paraId="681A8EF6">
      <w:pPr>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3）进度的事后控制。当实际进度与计划进度发生差异时，在分析原因的基础上制定保证总工期不突破的对策措施，如缩短工艺时间、减少技术问题、实行平行流水立体交叉作业等以及增加作业台数、增加工作人数、增加工作班次等。</w:t>
      </w:r>
    </w:p>
    <w:p w14:paraId="5DEB52F9">
      <w:pPr>
        <w:spacing w:line="440" w:lineRule="exact"/>
        <w:ind w:firstLine="482" w:firstLineChars="200"/>
        <w:rPr>
          <w:rFonts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D安全管理。</w:t>
      </w:r>
    </w:p>
    <w:p w14:paraId="27DB11F8">
      <w:pPr>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为提高本工程安全生产工作和文明施工的管理水平,预防伤亡事故的发生，确保职工的安全和健康，实现安全及文明施工管理工作的标准化、规范化，监理人必须督促施工单位建立全面的施工安全管理制度并对其落实的执行情况进行检查和监督管理,保障其最终目标(零事故、零伤亡)的实现。</w:t>
      </w:r>
    </w:p>
    <w:p w14:paraId="1A4D2612">
      <w:pPr>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1）对安全管理目标的预控。开工前,监理人应会同建设单位组织勘察、设计和施工单位就勘察、设计文件中涉及结构、施工及使用安全的问题进行专项技术交底；协助督促施工单位建立安全保障及监督体系，确定安全生产责任人，配备专职安全施工管理员，完善“三检”制度；审查施工组织设计中安全措施的完整性和针对性；审查施工单位的安全教育制度及其落实情况，核查专职安全员及特种作业人员的持证上岗情况，严禁无证上岗；监督施工单位进行分部(分项)工程的安全技术交底，并督促其建立班前安全活动制度。</w:t>
      </w:r>
    </w:p>
    <w:p w14:paraId="1CBA4540">
      <w:pPr>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2）对安全管理目标的过程控制。监理人应检查施工单位安全保障体系的运行情况和措施的落实情况；组织现场巡视检查，发现违章即予以制止；发现安全隐患,责令其停工整改；定期组织安全检查，按《施工安全检查标准》的要求进行安全评价，召开安全专题会议，将结果进行通报，并做好会议记录；对整改情况进行复查，确保隐患的消除。</w:t>
      </w:r>
    </w:p>
    <w:p w14:paraId="30FF7162">
      <w:pPr>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（3）因监理人管理不力、监理缺位而发生安全事故的，按照国家有关法律法规的相关规定，追究监理人的责任。</w:t>
      </w:r>
    </w:p>
    <w:p w14:paraId="52AD7ADE">
      <w:pPr>
        <w:spacing w:line="440" w:lineRule="exact"/>
        <w:ind w:firstLine="482" w:firstLineChars="200"/>
        <w:rPr>
          <w:rFonts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E合同管理、信息管理及组织协调工作。</w:t>
      </w:r>
    </w:p>
    <w:p w14:paraId="644F6E50">
      <w:pPr>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1）根据委托人与施工单位签订的施工合同内容，加强合同的跟踪管理；审核工程设计变更和核定承包商申报的实物工程量；督促承包商落实合同进度计划，根据工程进度实际值与计划值的比较、分析，提出意见；合同执行情况每月在建设监理月报中准确地向委托人反映。</w:t>
      </w:r>
    </w:p>
    <w:p w14:paraId="5647E0D5">
      <w:pPr>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（2）监理人应将本工程实施阶段全过程的有关质量、工期、投资、安全等方面通过文件、会议、纪要、座谈等多种形式的信息进行收集、分类、整理，为委托人在工程实施过程中的科学决策提供充分的依据。</w:t>
      </w:r>
    </w:p>
    <w:p w14:paraId="1E892931">
      <w:pPr>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（3）协助委托人协调、处理现场出现的各种问题；定期组织计划协调会，尽快解决施工单位现场项目部难以解决的问题；协调各方施工关系，保证各分项工程之间密切配合，整体顺利实施。</w:t>
      </w:r>
    </w:p>
    <w:p w14:paraId="0EFE002A">
      <w:pPr>
        <w:spacing w:line="440" w:lineRule="exact"/>
        <w:ind w:firstLine="482" w:firstLineChars="200"/>
        <w:rPr>
          <w:rFonts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（三）竣工保修阶段</w:t>
      </w:r>
    </w:p>
    <w:p w14:paraId="41590A0C">
      <w:pPr>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A 建设项目（工程）竣工验收后,监理人根据工作量和工作缺陷,配备保修责任期监理人员,进行保修责任期的监理工作。</w:t>
      </w:r>
    </w:p>
    <w:p w14:paraId="0FE35072">
      <w:pPr>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B 在整改和遗留工程的监理工作中，总监理工程师仍坚持上道工序未经检查验收不准进行下道工序的原则，确保工程质量。</w:t>
      </w:r>
    </w:p>
    <w:p w14:paraId="1E91CFFA">
      <w:pPr>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C 在保修期内总监理工程师应督促设计单位、施工单位,设备材料供应单位认真做好保修工作。并加强现场巡视，发现缺陷时，能够及时通知施工单位和有关保修部门尽快前往检查，组织人力、物力进行修理。</w:t>
      </w:r>
    </w:p>
    <w:p w14:paraId="5AE463E3">
      <w:pPr>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D 总监理工程师在确保保修责任及修复费用的处理上必须根据造成问题的原因以及具体返修内容，与各有关单位共同商定处理办法，并监控实施。</w:t>
      </w:r>
    </w:p>
    <w:p w14:paraId="06D8F2E8">
      <w:pPr>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E 工程竣工后，监理人为工程质量保修提供的记录、检修等服务费用包括在投标报价中，如额外增加费用，由委托人参照国家相关收费标准予以签证确认作为额外工作费用，未签证的一律不予计取。</w:t>
      </w:r>
    </w:p>
    <w:p w14:paraId="4BEB4FEC">
      <w:pPr>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2.8.2 监理人在履行本合同的义务期间，应认真、勤奋地工作，为委托人提供与其水平相适应的咨询意见，公正维护各方的合法权益。</w:t>
      </w:r>
    </w:p>
    <w:p w14:paraId="1D65FFEE">
      <w:pPr>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2.8.3 监理人使用委托人提供的设施和物品属委托人的财产。在监理工作完成或中止时，应将其设施和剩余的物品按合同约定的时间和方式移交给予委托人。</w:t>
      </w:r>
    </w:p>
    <w:p w14:paraId="6D181637">
      <w:pPr>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2.8.4 在本合同期内或合同终止后，未征得有关方书面同意，不得泄露与本工程、本合同业务活动有关的保密资料。</w:t>
      </w:r>
    </w:p>
    <w:p w14:paraId="50192421">
      <w:pPr>
        <w:pStyle w:val="4"/>
        <w:spacing w:before="0" w:after="0" w:line="440" w:lineRule="exact"/>
        <w:ind w:firstLine="480" w:firstLineChars="200"/>
        <w:rPr>
          <w:rFonts w:ascii="宋体" w:hAnsi="宋体" w:eastAsia="宋体" w:cs="宋体"/>
          <w:szCs w:val="24"/>
          <w:highlight w:val="none"/>
        </w:rPr>
      </w:pPr>
      <w:bookmarkStart w:id="3" w:name="_Toc398107912"/>
      <w:r>
        <w:rPr>
          <w:rFonts w:hint="eastAsia" w:ascii="宋体" w:hAnsi="宋体" w:eastAsia="宋体" w:cs="宋体"/>
          <w:szCs w:val="24"/>
          <w:highlight w:val="none"/>
        </w:rPr>
        <w:t>3. 委托人义务</w:t>
      </w:r>
      <w:bookmarkEnd w:id="3"/>
      <w:r>
        <w:rPr>
          <w:rFonts w:hint="eastAsia" w:ascii="宋体" w:hAnsi="宋体" w:eastAsia="宋体" w:cs="宋体"/>
          <w:szCs w:val="24"/>
          <w:highlight w:val="none"/>
        </w:rPr>
        <w:t xml:space="preserve">  </w:t>
      </w:r>
    </w:p>
    <w:p w14:paraId="6F8BF268">
      <w:pPr>
        <w:snapToGrid w:val="0"/>
        <w:spacing w:line="440" w:lineRule="exact"/>
        <w:ind w:firstLine="480" w:firstLineChars="200"/>
        <w:outlineLvl w:val="0"/>
        <w:rPr>
          <w:rFonts w:ascii="宋体" w:hAnsi="宋体" w:eastAsia="宋体" w:cs="宋体"/>
          <w:sz w:val="24"/>
          <w:szCs w:val="24"/>
          <w:highlight w:val="none"/>
        </w:rPr>
      </w:pPr>
      <w:r>
        <w:rPr>
          <w:rFonts w:hint="eastAsia" w:ascii="宋体" w:hAnsi="宋体" w:eastAsia="宋体" w:cs="宋体"/>
          <w:kern w:val="0"/>
          <w:sz w:val="24"/>
          <w:szCs w:val="24"/>
          <w:highlight w:val="none"/>
        </w:rPr>
        <w:t>3.4 委托人代表</w:t>
      </w:r>
    </w:p>
    <w:p w14:paraId="66DF799D">
      <w:pPr>
        <w:adjustRightInd w:val="0"/>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委托人代表为：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2649635D">
      <w:pPr>
        <w:adjustRightInd w:val="0"/>
        <w:snapToGrid w:val="0"/>
        <w:spacing w:line="440" w:lineRule="exact"/>
        <w:ind w:firstLine="480" w:firstLineChars="200"/>
        <w:outlineLvl w:val="0"/>
        <w:rPr>
          <w:rFonts w:ascii="宋体" w:hAnsi="宋体" w:eastAsia="宋体" w:cs="宋体"/>
          <w:kern w:val="0"/>
          <w:sz w:val="24"/>
          <w:szCs w:val="24"/>
          <w:highlight w:val="none"/>
        </w:rPr>
      </w:pPr>
      <w:r>
        <w:rPr>
          <w:rFonts w:hint="eastAsia" w:ascii="宋体" w:hAnsi="宋体" w:eastAsia="宋体" w:cs="宋体"/>
          <w:kern w:val="0"/>
          <w:sz w:val="24"/>
          <w:szCs w:val="24"/>
          <w:highlight w:val="none"/>
        </w:rPr>
        <w:t>3.6 答复</w:t>
      </w:r>
    </w:p>
    <w:p w14:paraId="6875ACC4">
      <w:pPr>
        <w:adjustRightInd w:val="0"/>
        <w:snapToGrid w:val="0"/>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委托人同意在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天内，对监理人书面提交并要求做出决定的事宜给予书面答复。</w:t>
      </w:r>
    </w:p>
    <w:p w14:paraId="0571CE12">
      <w:pPr>
        <w:adjustRightInd w:val="0"/>
        <w:snapToGrid w:val="0"/>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3.8 委托人的权利</w:t>
      </w:r>
    </w:p>
    <w:p w14:paraId="79FB4D78">
      <w:pPr>
        <w:adjustRightInd w:val="0"/>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3.8.1 委托人有选定工程总承包人，以及与其订立合同的权利。</w:t>
      </w:r>
    </w:p>
    <w:p w14:paraId="38D7F8FE">
      <w:pPr>
        <w:adjustRightInd w:val="0"/>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3.8.2 有对工程规模、设计标准、规划设计、生产工艺设计和设计使用功能要求的认定权，以及对工程设计变更的审批权。监理人调换总监理工程师须经委托人书面同意；</w:t>
      </w:r>
    </w:p>
    <w:p w14:paraId="5078009D">
      <w:pPr>
        <w:adjustRightInd w:val="0"/>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3.8.3 委托人有权要求监理人提交监理工作月报及监理业务范围内的专项报告。</w:t>
      </w:r>
    </w:p>
    <w:p w14:paraId="26BC66CC">
      <w:pPr>
        <w:adjustRightInd w:val="0"/>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3.8.4 当委托人发现监理人员不按监理合同履行监理职责，或与承包人串通给委托人或工程造成损失的，委托人有权要求监理人更换监理人员，直到终止合同并要求监理人承担相应的赔偿责任或连带赔偿责任。</w:t>
      </w:r>
    </w:p>
    <w:p w14:paraId="24C058D5">
      <w:pPr>
        <w:pStyle w:val="4"/>
        <w:spacing w:before="0" w:after="0" w:line="440" w:lineRule="exact"/>
        <w:ind w:firstLine="480" w:firstLineChars="200"/>
        <w:rPr>
          <w:rFonts w:ascii="宋体" w:hAnsi="宋体" w:eastAsia="宋体" w:cs="宋体"/>
          <w:szCs w:val="24"/>
          <w:highlight w:val="none"/>
        </w:rPr>
      </w:pPr>
      <w:bookmarkStart w:id="4" w:name="_Toc398107913"/>
      <w:r>
        <w:rPr>
          <w:rFonts w:hint="eastAsia" w:ascii="宋体" w:hAnsi="宋体" w:eastAsia="宋体" w:cs="宋体"/>
          <w:szCs w:val="24"/>
          <w:highlight w:val="none"/>
        </w:rPr>
        <w:t>4.违约责任</w:t>
      </w:r>
      <w:bookmarkEnd w:id="4"/>
    </w:p>
    <w:p w14:paraId="021CAA1E">
      <w:pPr>
        <w:adjustRightInd w:val="0"/>
        <w:snapToGrid w:val="0"/>
        <w:spacing w:line="440" w:lineRule="exact"/>
        <w:ind w:firstLine="480" w:firstLineChars="200"/>
        <w:outlineLvl w:val="0"/>
        <w:rPr>
          <w:rFonts w:ascii="宋体" w:hAnsi="宋体" w:eastAsia="宋体" w:cs="宋体"/>
          <w:kern w:val="0"/>
          <w:sz w:val="24"/>
          <w:szCs w:val="24"/>
          <w:highlight w:val="none"/>
        </w:rPr>
      </w:pPr>
      <w:r>
        <w:rPr>
          <w:rFonts w:hint="eastAsia" w:ascii="宋体" w:hAnsi="宋体" w:eastAsia="宋体" w:cs="宋体"/>
          <w:kern w:val="0"/>
          <w:sz w:val="24"/>
          <w:szCs w:val="24"/>
          <w:highlight w:val="none"/>
        </w:rPr>
        <w:t>4.1 监理人的违约考核条款</w:t>
      </w:r>
    </w:p>
    <w:p w14:paraId="20B6DFFF">
      <w:pPr>
        <w:adjustRightInd w:val="0"/>
        <w:snapToGrid w:val="0"/>
        <w:spacing w:line="440" w:lineRule="exact"/>
        <w:ind w:firstLine="480" w:firstLineChars="200"/>
        <w:outlineLvl w:val="0"/>
        <w:rPr>
          <w:rFonts w:ascii="宋体" w:hAnsi="宋体" w:eastAsia="宋体" w:cs="宋体"/>
          <w:kern w:val="0"/>
          <w:sz w:val="24"/>
          <w:szCs w:val="24"/>
          <w:highlight w:val="none"/>
        </w:rPr>
      </w:pPr>
      <w:r>
        <w:rPr>
          <w:rFonts w:hint="eastAsia" w:ascii="宋体" w:hAnsi="宋体" w:eastAsia="宋体" w:cs="宋体"/>
          <w:kern w:val="0"/>
          <w:sz w:val="24"/>
          <w:szCs w:val="24"/>
          <w:highlight w:val="none"/>
        </w:rPr>
        <w:t>4.1.1监理人赔偿金额按下列方法确定：</w:t>
      </w:r>
    </w:p>
    <w:p w14:paraId="22BBFBBA">
      <w:pPr>
        <w:adjustRightInd w:val="0"/>
        <w:snapToGrid w:val="0"/>
        <w:spacing w:line="440" w:lineRule="exact"/>
        <w:ind w:firstLine="480" w:firstLineChars="200"/>
        <w:outlineLvl w:val="0"/>
        <w:rPr>
          <w:rFonts w:ascii="宋体" w:hAnsi="宋体" w:eastAsia="宋体" w:cs="宋体"/>
          <w:kern w:val="0"/>
          <w:sz w:val="24"/>
          <w:szCs w:val="24"/>
          <w:highlight w:val="none"/>
        </w:rPr>
      </w:pPr>
      <w:r>
        <w:rPr>
          <w:rFonts w:hint="eastAsia" w:ascii="宋体" w:hAnsi="宋体" w:eastAsia="宋体" w:cs="宋体"/>
          <w:kern w:val="0"/>
          <w:sz w:val="24"/>
          <w:szCs w:val="24"/>
          <w:highlight w:val="none"/>
        </w:rPr>
        <w:t>赔偿金＝直接经济损失×正常工作酬金÷工程概算投资额（或建筑安装工程费）</w:t>
      </w:r>
    </w:p>
    <w:p w14:paraId="20B4E0FE">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1）在实施工程监理服务期间，委托人若发现监理人的项目机构任一成员与本工程的施工承包商串通，致使工程质量管理不到位，委托人有权将该人员直接清退出场，对监理人按5000元/次进行罚款，并且监理人须将人员补充到位。</w:t>
      </w:r>
    </w:p>
    <w:p w14:paraId="5628429E">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2）若工程质量因现场监理人员的监理工作不到位，监理人员未能发现质量问题或虽发现质量问题但未及时阻止并向委托人汇报此问题，委托人一经发现将对监理人处以每次不少于1000元的罚款，发生两次以上此类问题，委托人有权终止监理服务合同，并将有关情况通报到有关主管部门要求予以处罚。由此给委托人造成损失的，监理人还将承担赔偿责任。</w:t>
      </w:r>
    </w:p>
    <w:p w14:paraId="61909923">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3）施工承包人确定后,监理人应要求施工承包人提供较投标文件更为详细的施工方案和进度计划报项目监理部审批。工程实施过程中按批准的进度计划执行。在实施工程监理服务期间，委托人要求监理人对承包人是否按进度计划实施进行考核。监理人必须保证每半个月对承包人完成的施工任务进行检查，每一个月为一个考核周期。如发现在任何一个考核周期内承包人未按进度计划完成任务的，监理人应出具书面通知，要求承包人在下一个考核周期内完成上一个考核周期和本考核周期的施工任务。如连续二个考核期不能完成施工任务的，监理人将承担违约责任，委托人将对监理人处以每个考核周期不少于5000元的罚款。并且，要求承包人自动退场，已完工程量不予结算。</w:t>
      </w:r>
    </w:p>
    <w:p w14:paraId="034FC995">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4）委托人坚决谢绝挂靠单位参与本工程监理服务的投标报名和投标。在本项目整个招投标活动过程中委托人若发现监理人以他人名义投标，将取消其报名、入围、中标资格，同时将对其作出相应处罚，在投标阶段没收其全部投标保证金，在工程实施阶段将没收其全部或部分履约保证金。</w:t>
      </w:r>
    </w:p>
    <w:p w14:paraId="26F501E4">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5）总监理工程师在处理以下事项时：1、工程计量；2、工程价款（包括工程预付款、进度款、结算款）的确认和支付；3、工程变更和价格调整；4、竣工结算；5、工期确认（包括开工日期、竣工日期、工期延误的确认）；6、索赔处理，须按施工合同约定的时限内完成，且必须经委托人审查同意、书面签认后，方可将确认结果回复予承包人。未在规定的期限内完成，或未经委托人书面签认，每次委托人向监理人扣监理费合同价的0.5%，如发现监理签认的误差超过3%以上的，委托人按超过实际金额的10%向监理人扣除监理费。</w:t>
      </w:r>
    </w:p>
    <w:p w14:paraId="20565A7B">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6）除因发生重大安全事故不适合再任、因生病住院、终止劳动合同关系（提供相关部门或单位证明材料）、被责令停止执业、羁押或判刑、连续停工超过120天及以上情形而更换之外的，如监理人要求更换人员，须经委托人认可，同时，每更换一人次除承担相应违约责任外，还须扣除监理费合同价的2%。</w:t>
      </w:r>
    </w:p>
    <w:p w14:paraId="2BD9D236">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7）监理人应公正行使监理职责，监理人员严格遵守监理职业道德，如监理人员违反《工程廉政责任书》中的监理人责任条款（该条款的相关单位包括受监理人），委托人有权要求其更换监理人员并罚除监理合同价的3%～5%；情节严重，给委托人造成损失的，委托人有权终止合同，监理人并依法承担赔偿责任。</w:t>
      </w:r>
    </w:p>
    <w:p w14:paraId="5E623DED">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（8）工程项目监理人有下列行为之一的，委托人有权要求其更换监理人员并罚监理合同价的 3%；造成损失的，项目监理人并依法承担赔偿责任：</w:t>
      </w:r>
    </w:p>
    <w:p w14:paraId="79EEA4E8">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①未对施工组织设计中的安全技术措施或者专项施工方案进行审查的；</w:t>
      </w:r>
    </w:p>
    <w:p w14:paraId="53394321">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②发现安全事故隐患未及时要求施工单位整改或者暂时停止施工的；</w:t>
      </w:r>
    </w:p>
    <w:p w14:paraId="56D123BA">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③施工单位拒不整改或者不停止施工，未及时向有关主管部门报告的；</w:t>
      </w:r>
    </w:p>
    <w:p w14:paraId="30546F23">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④未依照法律、法规和工程建设强制性标准实施监理的；</w:t>
      </w:r>
    </w:p>
    <w:p w14:paraId="32386004">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⑤未严格执行建设工程监理合同文件；</w:t>
      </w:r>
    </w:p>
    <w:p w14:paraId="37C84C2D">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⑥项目监理人有与施工方（或生产厂家）合谋，偷工减料、弄虚作假、以次代好的现象的。</w:t>
      </w:r>
    </w:p>
    <w:p w14:paraId="1A1F2235">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9）监理人自觉接受委托人对本工程（项目）监督和飞行再监督管理。甲方发现或者认定监理人存在不符合工程招标文件、工程合同、国家工程技术规范和其他约定等问题，有权向监理人提出限期整改要求，监理人应当按期保质予以整改。同时，甲方对监理人存在问题，有权要求监理人进行赔偿，有权对监理人进行经济扣（罚）款，扣（罚）款额度由甲方根据监理人违反工程招标文件、工程合同、国家工程技术规范，以及其他约定的情况和程度量定。监理人被扣（罚）款项，可在甲方应支付监理人款项中扣除。委托人对监理人不能遵守工程招标文件、工程合同和其他约定，屡纠不改或者屡查屡犯，委托人有权与其单方面废标或解除合同。由于监理人责任，导致委托人废标或解除合同的，监理人已完工程量不予结算。</w:t>
      </w:r>
    </w:p>
    <w:p w14:paraId="37700626">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（10）工程质量未达到承包人投标时承诺的质量等级时，监理人应承担违约责任，并向委托人支付监理费合同价10%的违约金。</w:t>
      </w:r>
    </w:p>
    <w:p w14:paraId="5FA8B0CD">
      <w:pPr>
        <w:adjustRightInd w:val="0"/>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11）本项目被国投集团安全生产领导小组发现存在重大安全隐患实行挂牌督办时，委托人将对监理人处以1200元/次罚款；本项目发生一般安全生产事故的处以监理单位10000元/次的罚款；本项目发生人员重伤的安全生产责任事故并造成一定的社会负面影响的处以监理单位20000元/次的罚款；本项目发生安全生产责任事故并造成一人死亡的处以监理单位40000元/次的罚款；本项目发生安全生产责任事故并造成二人及以上死亡的处以监理单位100000元/次的罚款。并直接从监理费用中扣除。</w:t>
      </w:r>
    </w:p>
    <w:p w14:paraId="65938FDF">
      <w:pPr>
        <w:pStyle w:val="4"/>
        <w:spacing w:before="0" w:after="0" w:line="440" w:lineRule="exact"/>
        <w:ind w:firstLine="480" w:firstLineChars="200"/>
        <w:rPr>
          <w:rFonts w:ascii="宋体" w:hAnsi="宋体" w:eastAsia="宋体" w:cs="宋体"/>
          <w:szCs w:val="24"/>
          <w:highlight w:val="none"/>
        </w:rPr>
      </w:pPr>
      <w:bookmarkStart w:id="5" w:name="_Toc398107914"/>
      <w:r>
        <w:rPr>
          <w:rFonts w:hint="eastAsia" w:ascii="宋体" w:hAnsi="宋体" w:eastAsia="宋体" w:cs="宋体"/>
          <w:szCs w:val="24"/>
          <w:highlight w:val="none"/>
        </w:rPr>
        <w:t>5. 支付</w:t>
      </w:r>
      <w:bookmarkEnd w:id="5"/>
    </w:p>
    <w:p w14:paraId="69035153">
      <w:pPr>
        <w:snapToGrid w:val="0"/>
        <w:spacing w:line="440" w:lineRule="exact"/>
        <w:ind w:firstLine="480" w:firstLineChars="200"/>
        <w:rPr>
          <w:rFonts w:ascii="宋体" w:hAnsi="宋体" w:eastAsia="宋体" w:cs="宋体"/>
          <w:bCs/>
          <w:sz w:val="24"/>
          <w:szCs w:val="24"/>
          <w:highlight w:val="none"/>
        </w:rPr>
      </w:pPr>
      <w:r>
        <w:rPr>
          <w:rFonts w:hint="eastAsia" w:ascii="宋体" w:hAnsi="宋体" w:eastAsia="宋体" w:cs="宋体"/>
          <w:sz w:val="24"/>
          <w:szCs w:val="24"/>
          <w:highlight w:val="none"/>
        </w:rPr>
        <w:t xml:space="preserve">5.1 </w:t>
      </w:r>
      <w:r>
        <w:rPr>
          <w:rFonts w:hint="eastAsia" w:ascii="宋体" w:hAnsi="宋体" w:eastAsia="宋体" w:cs="宋体"/>
          <w:bCs/>
          <w:sz w:val="24"/>
          <w:szCs w:val="24"/>
          <w:highlight w:val="none"/>
        </w:rPr>
        <w:t>支付货币</w:t>
      </w:r>
    </w:p>
    <w:p w14:paraId="3F53CBE6">
      <w:pPr>
        <w:snapToGrid w:val="0"/>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币种为：</w:t>
      </w:r>
      <w:r>
        <w:rPr>
          <w:rFonts w:hint="eastAsia" w:ascii="宋体" w:hAnsi="宋体" w:eastAsia="宋体" w:cs="宋体"/>
          <w:sz w:val="24"/>
          <w:szCs w:val="24"/>
          <w:highlight w:val="none"/>
          <w:u w:val="single"/>
        </w:rPr>
        <w:t>人民币</w:t>
      </w:r>
      <w:r>
        <w:rPr>
          <w:rFonts w:hint="eastAsia" w:ascii="宋体" w:hAnsi="宋体" w:eastAsia="宋体" w:cs="宋体"/>
          <w:sz w:val="24"/>
          <w:szCs w:val="24"/>
          <w:highlight w:val="none"/>
        </w:rPr>
        <w:t>，比例为：</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，汇率为：</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 xml:space="preserve">。 </w:t>
      </w:r>
    </w:p>
    <w:p w14:paraId="0CC1FBDE">
      <w:pPr>
        <w:snapToGrid w:val="0"/>
        <w:spacing w:line="440" w:lineRule="exact"/>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rPr>
        <w:t>5.2 支付酬金</w:t>
      </w:r>
    </w:p>
    <w:p w14:paraId="08E827CD">
      <w:pPr>
        <w:widowControl/>
        <w:spacing w:line="500" w:lineRule="exact"/>
        <w:ind w:firstLine="480" w:firstLineChars="200"/>
        <w:jc w:val="left"/>
        <w:rPr>
          <w:rFonts w:ascii="宋体" w:hAnsi="宋体" w:eastAsia="宋体" w:cs="宋体"/>
          <w:sz w:val="24"/>
          <w:szCs w:val="24"/>
          <w:highlight w:val="none"/>
        </w:rPr>
      </w:pPr>
      <w:r>
        <w:rPr>
          <w:rFonts w:hint="eastAsia" w:ascii="宋体" w:hAnsi="宋体" w:eastAsia="宋体" w:cs="宋体"/>
          <w:kern w:val="0"/>
          <w:sz w:val="24"/>
          <w:szCs w:val="24"/>
          <w:highlight w:val="none"/>
          <w:u w:val="single"/>
        </w:rPr>
        <w:t>5.2.1监理费用＝投标人投标时的中标价，结算时不再调整。</w:t>
      </w:r>
    </w:p>
    <w:p w14:paraId="4D4BA722">
      <w:pPr>
        <w:widowControl/>
        <w:spacing w:line="500" w:lineRule="exact"/>
        <w:ind w:firstLine="480" w:firstLineChars="200"/>
        <w:jc w:val="left"/>
        <w:rPr>
          <w:rFonts w:ascii="宋体" w:hAnsi="宋体" w:eastAsia="宋体" w:cs="宋体"/>
          <w:sz w:val="24"/>
          <w:szCs w:val="24"/>
          <w:highlight w:val="none"/>
        </w:rPr>
      </w:pPr>
      <w:r>
        <w:rPr>
          <w:rFonts w:hint="eastAsia" w:ascii="宋体" w:hAnsi="宋体" w:eastAsia="宋体" w:cs="宋体"/>
          <w:kern w:val="0"/>
          <w:sz w:val="24"/>
          <w:szCs w:val="24"/>
          <w:highlight w:val="none"/>
          <w:u w:val="single"/>
        </w:rPr>
        <w:t>5.2.2本项目无预付款，项目通过竣工验收支付合同价款的70%，项目二审结束支付至合同价款的9</w:t>
      </w:r>
      <w:r>
        <w:rPr>
          <w:rFonts w:ascii="宋体" w:hAnsi="宋体" w:eastAsia="宋体" w:cs="宋体"/>
          <w:kern w:val="0"/>
          <w:sz w:val="24"/>
          <w:szCs w:val="24"/>
          <w:highlight w:val="none"/>
          <w:u w:val="single"/>
        </w:rPr>
        <w:t>7</w:t>
      </w:r>
      <w:r>
        <w:rPr>
          <w:rFonts w:hint="eastAsia" w:ascii="宋体" w:hAnsi="宋体" w:eastAsia="宋体" w:cs="宋体"/>
          <w:kern w:val="0"/>
          <w:sz w:val="24"/>
          <w:szCs w:val="24"/>
          <w:highlight w:val="none"/>
          <w:u w:val="single"/>
        </w:rPr>
        <w:t>%，余款作为质保金两年缺陷责任期满无息支付。注：付款前，本项目监理人须提供相应的增值税专用发票，增值税发票税率为6%。监理人未提供发票的，委托人价款支付期限相应顺延。</w:t>
      </w:r>
    </w:p>
    <w:p w14:paraId="6A579E03">
      <w:pPr>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特别说明：</w:t>
      </w:r>
    </w:p>
    <w:p w14:paraId="3E55D10D">
      <w:pPr>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kern w:val="0"/>
          <w:sz w:val="24"/>
          <w:szCs w:val="24"/>
          <w:highlight w:val="none"/>
          <w:u w:val="single"/>
        </w:rPr>
        <w:t>①</w:t>
      </w:r>
      <w:r>
        <w:rPr>
          <w:rFonts w:hint="eastAsia" w:ascii="宋体" w:hAnsi="宋体" w:eastAsia="宋体" w:cs="宋体"/>
          <w:sz w:val="24"/>
          <w:szCs w:val="24"/>
          <w:highlight w:val="none"/>
          <w:u w:val="single"/>
        </w:rPr>
        <w:t>本项目所有设备质量监理（监造）工作必须仍由监理人负责。各投标人在投标报价时必须充分综合考虑此费用，工程竣工结算时不再单立收取此费用。</w:t>
      </w:r>
    </w:p>
    <w:p w14:paraId="7D41B224">
      <w:pPr>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kern w:val="0"/>
          <w:sz w:val="24"/>
          <w:szCs w:val="24"/>
          <w:highlight w:val="none"/>
          <w:u w:val="single"/>
        </w:rPr>
        <w:t>②</w:t>
      </w:r>
      <w:r>
        <w:rPr>
          <w:rFonts w:hint="eastAsia" w:ascii="宋体" w:hAnsi="宋体" w:eastAsia="宋体" w:cs="宋体"/>
          <w:sz w:val="24"/>
          <w:szCs w:val="24"/>
          <w:highlight w:val="none"/>
          <w:u w:val="single"/>
        </w:rPr>
        <w:t>监理人投标报价时已充分考虑本工程工期延误而需增加的费用（包含延期的人员配备等费用），因工期延误导致监理费增加的费用结算时不做任何调整。</w:t>
      </w:r>
    </w:p>
    <w:p w14:paraId="5C5C07C9">
      <w:pPr>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③委托人按照监理费用比例付款，若部分项目监理人没有实施或实施后未经委托人认可，或误导委托人导致委托人做出错误决策则该部分服务不计入服务费用，导致损失的按照专用条款规定实施处罚。</w:t>
      </w:r>
    </w:p>
    <w:p w14:paraId="51A39BD6">
      <w:pPr>
        <w:widowControl/>
        <w:spacing w:line="500" w:lineRule="exact"/>
        <w:ind w:firstLine="480" w:firstLineChars="200"/>
        <w:jc w:val="left"/>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因新冠肺炎疫情防控造成的损失以及现场疫情防控的费用支出和人工、材料设备、机械价格的波动等费用增加均由投标人承担，结算时不再增加相关费用。</w:t>
      </w:r>
    </w:p>
    <w:p w14:paraId="0C9E3737">
      <w:pPr>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5.3.3附加工作和额外工作的酬金计取及支付：</w:t>
      </w:r>
    </w:p>
    <w:p w14:paraId="2CB8DD9F">
      <w:pPr>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附加工作：由于非监理人原因导致监理人服务期超过的，超出部分的时间不计取费用，该风险费用综合含在合同价内。</w:t>
      </w:r>
    </w:p>
    <w:p w14:paraId="4B1AEFC8">
      <w:pPr>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额外工作：实际发生时，参照国家相关规定按服务期双方另行协商签证为准。若无签证，则不计取费用。</w:t>
      </w:r>
    </w:p>
    <w:p w14:paraId="636DAF62">
      <w:pPr>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 xml:space="preserve">停工期间不计取酬金。本项目监理服务期限与项目建设同步，无论何种原因造成本合同期限延长，监理人仍承担监理义务，且服务费用不予增加，监理人已自行将上述因素考虑到合同价中。 </w:t>
      </w:r>
    </w:p>
    <w:p w14:paraId="01EE39BE">
      <w:pPr>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工程保修期间：保修期间，监理人须根据工程保修需要随时到位服务（需提供保修期的专业对接人员名单）。如监理人不配合，一次扣罚质保金的5%。</w:t>
      </w:r>
    </w:p>
    <w:p w14:paraId="2B29DA28">
      <w:pPr>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工程保修阶段的服务内容：检查和记录工程质量缺陷，对缺陷原因进行调查分析并确定责任归属，审核修复方案，监督修复过程并验收，审核修复费用。</w:t>
      </w:r>
    </w:p>
    <w:p w14:paraId="7FA309D8">
      <w:pPr>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5.3.4监理人履行本合同期间，凡属监理人范围之内的工作所产生的劳务费、工资、奖金、津贴、个人保险、车辆使用费等均由监理人自行负担。</w:t>
      </w:r>
    </w:p>
    <w:p w14:paraId="2CBDA818">
      <w:pPr>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5.3.5本项目各类涉及到项目的施工、货物、服务的合同，均由监理人审核后签订；合同付款的原则为：承包人上报，监理人审核后报委托人，委托人核实签字后，由委托人直接支付给各承包人合同项下的相应费用。</w:t>
      </w:r>
    </w:p>
    <w:p w14:paraId="02E667AE">
      <w:pPr>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5.3.6每次付款监理人须提供等额的增值税专用发票。</w:t>
      </w:r>
    </w:p>
    <w:p w14:paraId="5C243236">
      <w:pPr>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5.3.7监理人已充分考虑本工程工期延误而需增加的费用，结算时类似因工期的延误而导致监理费用的索赔一概不予认可。</w:t>
      </w:r>
    </w:p>
    <w:p w14:paraId="73A71DB4">
      <w:pPr>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5.4 项目监理人如未按照国家有关规定及本招标文件约定的项目服务内容提供相关服务的，委托人有权对照项目监理服务费构成扣减相应部分的监理费。</w:t>
      </w:r>
    </w:p>
    <w:p w14:paraId="6D2B7C4C">
      <w:pPr>
        <w:snapToGrid w:val="0"/>
        <w:spacing w:line="440" w:lineRule="exact"/>
        <w:ind w:firstLine="480" w:firstLineChars="200"/>
        <w:rPr>
          <w:rFonts w:ascii="宋体" w:hAnsi="宋体" w:eastAsia="宋体" w:cs="宋体"/>
          <w:sz w:val="24"/>
          <w:szCs w:val="24"/>
          <w:highlight w:val="none"/>
        </w:rPr>
      </w:pPr>
      <w:r>
        <w:rPr>
          <w:rFonts w:hint="eastAsia" w:ascii="宋体" w:hAnsi="宋体" w:eastAsia="宋体" w:cs="宋体"/>
          <w:kern w:val="0"/>
          <w:sz w:val="24"/>
          <w:szCs w:val="24"/>
          <w:highlight w:val="none"/>
          <w:u w:val="single"/>
        </w:rPr>
        <w:t>5.5 在结算的总费用中划出20%，作为工程监理人员到岗出勤考核，监理人员每月驻场时间不少于24天，休息时间必须调休，并征得委托人项目负责人同意，并履行书面请假手续，保证现场人员不低于江苏省规定的最低人员。中标后，所投人员不得更换，必须全部到施工现场参与工程项目监理，并接受委托人的指纹考核，委托人项目负责人每月将考核情况汇总签字后报送分管领导，并抄送审计部门，每月的考核结果（总监理和其他监理人员考核的违约金标准按本合同专用条款第2.3条约定标准执行）计入每次的付款中。特殊情况下，委托人根据工程建设需要，以书面形式通知中标人暂停考核。</w:t>
      </w:r>
    </w:p>
    <w:p w14:paraId="384C5DD4">
      <w:pPr>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5.6 监理服务的内容含但不限于监理服务清单中所列内容。</w:t>
      </w:r>
    </w:p>
    <w:p w14:paraId="64B86F58">
      <w:pPr>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5.7 委托人不定期督查，发现项目组成员不在岗且无请假手续的，监理人须按本合同专用条款第2.3条约定标准承担相应违约金，总监如因客观原因确需更换的，需征得委托人书面同意，更换后的总监必须符合本项目招标文件资格条件的要求，且每更换一次监理人需承担人民币10万元违约金，交至委托人指定帐户。</w:t>
      </w:r>
    </w:p>
    <w:p w14:paraId="1294814D">
      <w:pPr>
        <w:snapToGrid w:val="0"/>
        <w:spacing w:line="440" w:lineRule="exact"/>
        <w:ind w:firstLine="480" w:firstLineChars="200"/>
        <w:rPr>
          <w:rFonts w:ascii="宋体" w:hAnsi="宋体" w:eastAsia="宋体" w:cs="宋体"/>
          <w:sz w:val="24"/>
          <w:szCs w:val="24"/>
          <w:highlight w:val="none"/>
        </w:rPr>
      </w:pPr>
      <w:bookmarkStart w:id="6" w:name="_Toc398107915"/>
      <w:r>
        <w:rPr>
          <w:rFonts w:hint="eastAsia" w:ascii="宋体" w:hAnsi="宋体" w:eastAsia="宋体" w:cs="宋体"/>
          <w:sz w:val="24"/>
          <w:szCs w:val="24"/>
          <w:highlight w:val="none"/>
        </w:rPr>
        <w:t>6. 合同生效、变更、暂停、解除与终止</w:t>
      </w:r>
      <w:bookmarkEnd w:id="6"/>
      <w:bookmarkStart w:id="7" w:name="_Toc398107916"/>
    </w:p>
    <w:p w14:paraId="663123E3">
      <w:pPr>
        <w:adjustRightInd w:val="0"/>
        <w:snapToGrid w:val="0"/>
        <w:spacing w:line="4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6.1 生效</w:t>
      </w:r>
    </w:p>
    <w:p w14:paraId="063AAF28">
      <w:pPr>
        <w:adjustRightInd w:val="0"/>
        <w:snapToGrid w:val="0"/>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本合同生效条件：</w:t>
      </w:r>
      <w:r>
        <w:rPr>
          <w:rFonts w:hint="eastAsia" w:ascii="宋体" w:hAnsi="宋体" w:eastAsia="宋体" w:cs="宋体"/>
          <w:sz w:val="24"/>
          <w:szCs w:val="24"/>
          <w:highlight w:val="none"/>
          <w:u w:val="single"/>
        </w:rPr>
        <w:t>合同当事人双方签字盖章后生效</w:t>
      </w:r>
      <w:r>
        <w:rPr>
          <w:rFonts w:hint="eastAsia" w:ascii="宋体" w:hAnsi="宋体" w:eastAsia="宋体" w:cs="宋体"/>
          <w:sz w:val="24"/>
          <w:szCs w:val="24"/>
          <w:highlight w:val="none"/>
        </w:rPr>
        <w:t>。</w:t>
      </w:r>
    </w:p>
    <w:p w14:paraId="145E5665">
      <w:pPr>
        <w:adjustRightInd w:val="0"/>
        <w:snapToGrid w:val="0"/>
        <w:spacing w:line="4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6.2 变更</w:t>
      </w:r>
    </w:p>
    <w:p w14:paraId="02251166">
      <w:pPr>
        <w:adjustRightInd w:val="0"/>
        <w:snapToGrid w:val="0"/>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6.2.2 除不可抗力外， 因非监理人原因导致本合同期限延长时，附加工作酬金按下列方法确定：</w:t>
      </w:r>
      <w:r>
        <w:rPr>
          <w:rFonts w:hint="eastAsia" w:ascii="宋体" w:hAnsi="宋体" w:eastAsia="宋体" w:cs="宋体"/>
          <w:kern w:val="0"/>
          <w:sz w:val="24"/>
          <w:szCs w:val="24"/>
          <w:highlight w:val="none"/>
          <w:u w:val="single"/>
        </w:rPr>
        <w:t>本项不予计取。</w:t>
      </w:r>
    </w:p>
    <w:p w14:paraId="63192C14">
      <w:pPr>
        <w:snapToGrid w:val="0"/>
        <w:spacing w:line="440" w:lineRule="exact"/>
        <w:ind w:firstLine="480" w:firstLineChars="200"/>
        <w:rPr>
          <w:rFonts w:ascii="宋体" w:hAnsi="宋体" w:eastAsia="宋体" w:cs="宋体"/>
          <w:kern w:val="0"/>
          <w:sz w:val="24"/>
          <w:szCs w:val="24"/>
          <w:highlight w:val="none"/>
        </w:rPr>
      </w:pPr>
      <w:r>
        <w:rPr>
          <w:rFonts w:hint="eastAsia" w:ascii="宋体" w:hAnsi="宋体" w:eastAsia="宋体" w:cs="宋体"/>
          <w:sz w:val="24"/>
          <w:szCs w:val="24"/>
          <w:highlight w:val="none"/>
        </w:rPr>
        <w:t>6.2.3附加工作酬金按下列方法确定：</w:t>
      </w:r>
      <w:r>
        <w:rPr>
          <w:rFonts w:hint="eastAsia" w:ascii="宋体" w:hAnsi="宋体" w:eastAsia="宋体" w:cs="宋体"/>
          <w:kern w:val="0"/>
          <w:sz w:val="24"/>
          <w:szCs w:val="24"/>
          <w:highlight w:val="none"/>
          <w:u w:val="single"/>
        </w:rPr>
        <w:t xml:space="preserve">本项不予计取 。 </w:t>
      </w:r>
    </w:p>
    <w:p w14:paraId="57BCD3AF">
      <w:pPr>
        <w:adjustRightInd w:val="0"/>
        <w:snapToGrid w:val="0"/>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6.2.5 正常工作酬金增加额按下列方法确定： </w:t>
      </w:r>
      <w:r>
        <w:rPr>
          <w:rFonts w:hint="eastAsia" w:ascii="宋体" w:hAnsi="宋体" w:eastAsia="宋体" w:cs="宋体"/>
          <w:kern w:val="0"/>
          <w:sz w:val="24"/>
          <w:szCs w:val="24"/>
          <w:highlight w:val="none"/>
          <w:u w:val="single"/>
        </w:rPr>
        <w:t>本项不予计取。</w:t>
      </w:r>
    </w:p>
    <w:p w14:paraId="0211B7F2">
      <w:pPr>
        <w:snapToGrid w:val="0"/>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6.2.6 因工程规模、监理范围的变化导致监理人的正常工作量减少时，按减少工作量的比例从协议书约定的正常工作酬金中扣减相同比例的酬金。</w:t>
      </w:r>
    </w:p>
    <w:p w14:paraId="7CCA6A72">
      <w:pPr>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6.3.1 由于委托人或承包人的原因使监理工作受到阻碍或延误，以致发生了附加工作或延长了持续时间，则监理人应当将此情况与可能产生的影响及时通知委托人。</w:t>
      </w:r>
    </w:p>
    <w:p w14:paraId="7C6285B5">
      <w:pPr>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6.3.2 在委托监理合同签订后，实际情况发生变化，使得监理人不能全部或部分执行监理业务时，监理人应当立即通知委托人。</w:t>
      </w:r>
    </w:p>
    <w:p w14:paraId="6AB0700E">
      <w:pPr>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6.3.3 当事人一方要求变更或解除合同时，应当在 42 日前通知对方，因解除合同使一方遭受损失的，除依法可以免除责任的外，应由责任方负责赔偿。</w:t>
      </w:r>
    </w:p>
    <w:p w14:paraId="0DC7BA4E">
      <w:pPr>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6.3.4 变更或解除合同的通知或协议必须采取书面形式，协议未达成之前，原合同仍然有效。</w:t>
      </w:r>
    </w:p>
    <w:p w14:paraId="4243076C">
      <w:pPr>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6.3.5 当委托人认为监理人无正当理由而又未履行监理义务时，可向监理人发出指明其未履行义务的通知。若委托人发出通知后 21 日内没有收到答复，可在第一个通知发出后 35 日内发出终止委托监理合同的通知，合同即行终止。监理人承担违约责任。</w:t>
      </w:r>
    </w:p>
    <w:p w14:paraId="20807FD8">
      <w:pPr>
        <w:snapToGrid w:val="0"/>
        <w:spacing w:line="44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6.3.6 合同协议的终止并不影响各方应有的权利和应当承担的责任。</w:t>
      </w:r>
    </w:p>
    <w:p w14:paraId="7CB5517D">
      <w:pPr>
        <w:pStyle w:val="4"/>
        <w:spacing w:before="0" w:after="0" w:line="440" w:lineRule="exact"/>
        <w:ind w:firstLine="480" w:firstLineChars="200"/>
        <w:rPr>
          <w:rFonts w:ascii="宋体" w:hAnsi="宋体" w:eastAsia="宋体" w:cs="宋体"/>
          <w:szCs w:val="24"/>
          <w:highlight w:val="none"/>
        </w:rPr>
      </w:pPr>
      <w:r>
        <w:rPr>
          <w:rFonts w:hint="eastAsia" w:ascii="宋体" w:hAnsi="宋体" w:eastAsia="宋体" w:cs="宋体"/>
          <w:szCs w:val="24"/>
          <w:highlight w:val="none"/>
        </w:rPr>
        <w:t>7. 争议解决</w:t>
      </w:r>
      <w:bookmarkEnd w:id="7"/>
    </w:p>
    <w:p w14:paraId="53042850">
      <w:pPr>
        <w:snapToGrid w:val="0"/>
        <w:spacing w:line="4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 xml:space="preserve">7.2 </w:t>
      </w:r>
      <w:r>
        <w:rPr>
          <w:rFonts w:hint="eastAsia" w:ascii="宋体" w:hAnsi="宋体" w:eastAsia="宋体" w:cs="宋体"/>
          <w:bCs/>
          <w:sz w:val="24"/>
          <w:szCs w:val="24"/>
          <w:highlight w:val="none"/>
        </w:rPr>
        <w:t>调解</w:t>
      </w:r>
    </w:p>
    <w:p w14:paraId="618B614C">
      <w:pPr>
        <w:snapToGrid w:val="0"/>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本合同争议进行调解时，可提交</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进行调解。</w:t>
      </w:r>
    </w:p>
    <w:p w14:paraId="3B209174">
      <w:pPr>
        <w:snapToGrid w:val="0"/>
        <w:spacing w:line="4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 xml:space="preserve">7.3 </w:t>
      </w:r>
      <w:r>
        <w:rPr>
          <w:rFonts w:hint="eastAsia" w:ascii="宋体" w:hAnsi="宋体" w:eastAsia="宋体" w:cs="宋体"/>
          <w:bCs/>
          <w:sz w:val="24"/>
          <w:szCs w:val="24"/>
          <w:highlight w:val="none"/>
        </w:rPr>
        <w:t>仲裁或诉讼</w:t>
      </w:r>
    </w:p>
    <w:p w14:paraId="6B78D7BE">
      <w:pPr>
        <w:adjustRightInd w:val="0"/>
        <w:snapToGrid w:val="0"/>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合同争议的最终解决方式为下列第</w:t>
      </w:r>
      <w:r>
        <w:rPr>
          <w:rFonts w:hint="eastAsia" w:ascii="宋体" w:hAnsi="宋体" w:eastAsia="宋体" w:cs="宋体"/>
          <w:sz w:val="24"/>
          <w:szCs w:val="24"/>
          <w:highlight w:val="none"/>
          <w:u w:val="single"/>
        </w:rPr>
        <w:t xml:space="preserve"> 2  </w:t>
      </w:r>
      <w:r>
        <w:rPr>
          <w:rFonts w:hint="eastAsia" w:ascii="宋体" w:hAnsi="宋体" w:eastAsia="宋体" w:cs="宋体"/>
          <w:sz w:val="24"/>
          <w:szCs w:val="24"/>
          <w:highlight w:val="none"/>
        </w:rPr>
        <w:t>种方式：</w:t>
      </w:r>
    </w:p>
    <w:p w14:paraId="15F9949A">
      <w:pPr>
        <w:adjustRightInd w:val="0"/>
        <w:snapToGrid w:val="0"/>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（1）提请</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仲裁委员会进行仲裁。</w:t>
      </w:r>
    </w:p>
    <w:p w14:paraId="22C6A619">
      <w:pPr>
        <w:adjustRightInd w:val="0"/>
        <w:snapToGrid w:val="0"/>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（2）向</w:t>
      </w:r>
      <w:r>
        <w:rPr>
          <w:rFonts w:hint="eastAsia" w:ascii="宋体" w:hAnsi="宋体" w:eastAsia="宋体" w:cs="宋体"/>
          <w:sz w:val="24"/>
          <w:szCs w:val="24"/>
          <w:highlight w:val="none"/>
          <w:u w:val="single"/>
        </w:rPr>
        <w:t xml:space="preserve"> 项目所在地 </w:t>
      </w:r>
      <w:r>
        <w:rPr>
          <w:rFonts w:hint="eastAsia" w:ascii="宋体" w:hAnsi="宋体" w:eastAsia="宋体" w:cs="宋体"/>
          <w:sz w:val="24"/>
          <w:szCs w:val="24"/>
          <w:highlight w:val="none"/>
        </w:rPr>
        <w:t>人民法院提起诉讼。</w:t>
      </w:r>
    </w:p>
    <w:p w14:paraId="39DED1DE">
      <w:pPr>
        <w:pStyle w:val="4"/>
        <w:spacing w:before="0" w:after="0" w:line="440" w:lineRule="exact"/>
        <w:ind w:firstLine="480" w:firstLineChars="200"/>
        <w:rPr>
          <w:rFonts w:ascii="宋体" w:hAnsi="宋体" w:eastAsia="宋体" w:cs="宋体"/>
          <w:szCs w:val="24"/>
          <w:highlight w:val="none"/>
        </w:rPr>
      </w:pPr>
      <w:bookmarkStart w:id="8" w:name="_Toc398107917"/>
      <w:r>
        <w:rPr>
          <w:rFonts w:hint="eastAsia" w:ascii="宋体" w:hAnsi="宋体" w:eastAsia="宋体" w:cs="宋体"/>
          <w:szCs w:val="24"/>
          <w:highlight w:val="none"/>
        </w:rPr>
        <w:t>8. 其他</w:t>
      </w:r>
      <w:bookmarkEnd w:id="8"/>
    </w:p>
    <w:p w14:paraId="342601BF">
      <w:pPr>
        <w:adjustRightInd w:val="0"/>
        <w:snapToGrid w:val="0"/>
        <w:spacing w:line="44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8.2 检测费用</w:t>
      </w:r>
    </w:p>
    <w:p w14:paraId="311DDCE5">
      <w:pPr>
        <w:adjustRightInd w:val="0"/>
        <w:snapToGrid w:val="0"/>
        <w:spacing w:line="44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委托人应在检测工作完成后</w:t>
      </w:r>
      <w:r>
        <w:rPr>
          <w:rFonts w:hint="eastAsia" w:ascii="宋体" w:hAnsi="宋体" w:eastAsia="宋体" w:cs="宋体"/>
          <w:sz w:val="24"/>
          <w:szCs w:val="24"/>
          <w:highlight w:val="none"/>
          <w:u w:val="single"/>
        </w:rPr>
        <w:t xml:space="preserve"> / </w:t>
      </w:r>
      <w:r>
        <w:rPr>
          <w:rFonts w:hint="eastAsia" w:ascii="宋体" w:hAnsi="宋体" w:eastAsia="宋体" w:cs="宋体"/>
          <w:bCs/>
          <w:sz w:val="24"/>
          <w:szCs w:val="24"/>
          <w:highlight w:val="none"/>
        </w:rPr>
        <w:t>天内支付检测费用。</w:t>
      </w:r>
    </w:p>
    <w:p w14:paraId="61B0153B">
      <w:pPr>
        <w:adjustRightInd w:val="0"/>
        <w:snapToGrid w:val="0"/>
        <w:spacing w:line="44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8.3 咨询费用</w:t>
      </w:r>
    </w:p>
    <w:p w14:paraId="3B2B62AF">
      <w:pPr>
        <w:adjustRightInd w:val="0"/>
        <w:snapToGrid w:val="0"/>
        <w:spacing w:line="44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委托人应在咨询工作完成后</w:t>
      </w:r>
      <w:r>
        <w:rPr>
          <w:rFonts w:hint="eastAsia" w:ascii="宋体" w:hAnsi="宋体" w:eastAsia="宋体" w:cs="宋体"/>
          <w:sz w:val="24"/>
          <w:szCs w:val="24"/>
          <w:highlight w:val="none"/>
          <w:u w:val="single"/>
        </w:rPr>
        <w:t xml:space="preserve"> / </w:t>
      </w:r>
      <w:r>
        <w:rPr>
          <w:rFonts w:hint="eastAsia" w:ascii="宋体" w:hAnsi="宋体" w:eastAsia="宋体" w:cs="宋体"/>
          <w:bCs/>
          <w:sz w:val="24"/>
          <w:szCs w:val="24"/>
          <w:highlight w:val="none"/>
        </w:rPr>
        <w:t>天内支付咨询费用。</w:t>
      </w:r>
    </w:p>
    <w:p w14:paraId="0A759CC8">
      <w:pPr>
        <w:snapToGrid w:val="0"/>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8.4 奖励</w:t>
      </w:r>
    </w:p>
    <w:p w14:paraId="5D0C69E3">
      <w:pPr>
        <w:snapToGrid w:val="0"/>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合理化建议的奖励金额按下列方法确定为：</w:t>
      </w:r>
    </w:p>
    <w:p w14:paraId="40472360">
      <w:pPr>
        <w:snapToGrid w:val="0"/>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奖励金额＝工程投资节省额×奖励金额的比率；</w:t>
      </w:r>
    </w:p>
    <w:p w14:paraId="0424E1A9">
      <w:pPr>
        <w:snapToGrid w:val="0"/>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奖励金额的比率为</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15F1C453">
      <w:pPr>
        <w:adjustRightInd w:val="0"/>
        <w:snapToGrid w:val="0"/>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8.6 保密</w:t>
      </w:r>
    </w:p>
    <w:p w14:paraId="770552E8">
      <w:pPr>
        <w:adjustRightInd w:val="0"/>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委托人申明的保密事项和期限：</w:t>
      </w:r>
      <w:r>
        <w:rPr>
          <w:rFonts w:hint="eastAsia" w:ascii="宋体" w:hAnsi="宋体" w:eastAsia="宋体" w:cs="宋体"/>
          <w:sz w:val="24"/>
          <w:szCs w:val="24"/>
          <w:highlight w:val="none"/>
          <w:u w:val="single"/>
        </w:rPr>
        <w:t xml:space="preserve">商业信息、技术信息、工程信息（包括但不限于工程工期、工程设计、工程图纸等），保密义务不因合同终止而结束。监理人不得未经委托人书面许可，擅自使用或泄露给与履行本合同义务无关的第三方。若监理人违反保密义务，需承担监理费用20%的违约金，该违约金不足以弥补委托人实际损失的，监理人需继续予以补足 </w:t>
      </w:r>
      <w:r>
        <w:rPr>
          <w:rFonts w:hint="eastAsia" w:ascii="宋体" w:hAnsi="宋体" w:eastAsia="宋体" w:cs="宋体"/>
          <w:sz w:val="24"/>
          <w:szCs w:val="24"/>
          <w:highlight w:val="none"/>
        </w:rPr>
        <w:t>。</w:t>
      </w:r>
    </w:p>
    <w:p w14:paraId="224A754F">
      <w:pPr>
        <w:adjustRightInd w:val="0"/>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监理人申明的保密事项和期限：</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1D832840">
      <w:pPr>
        <w:adjustRightInd w:val="0"/>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第三方申明的保密事项和期限：</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4BABDCD7">
      <w:pPr>
        <w:snapToGrid w:val="0"/>
        <w:spacing w:line="440" w:lineRule="exact"/>
        <w:ind w:firstLine="480" w:firstLineChars="200"/>
        <w:rPr>
          <w:rFonts w:ascii="宋体" w:hAnsi="宋体" w:eastAsia="宋体" w:cs="宋体"/>
          <w:bCs/>
          <w:sz w:val="24"/>
          <w:szCs w:val="24"/>
          <w:highlight w:val="none"/>
        </w:rPr>
      </w:pPr>
      <w:r>
        <w:rPr>
          <w:rFonts w:hint="eastAsia" w:ascii="宋体" w:hAnsi="宋体" w:eastAsia="宋体" w:cs="宋体"/>
          <w:sz w:val="24"/>
          <w:szCs w:val="24"/>
          <w:highlight w:val="none"/>
        </w:rPr>
        <w:t>8.8</w:t>
      </w:r>
      <w:r>
        <w:rPr>
          <w:rFonts w:hint="eastAsia" w:ascii="宋体" w:hAnsi="宋体" w:eastAsia="宋体" w:cs="宋体"/>
          <w:bCs/>
          <w:sz w:val="24"/>
          <w:szCs w:val="24"/>
          <w:highlight w:val="none"/>
        </w:rPr>
        <w:t>著作权</w:t>
      </w:r>
    </w:p>
    <w:p w14:paraId="1B4409C9">
      <w:pPr>
        <w:adjustRightInd w:val="0"/>
        <w:snapToGrid w:val="0"/>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监理人在本合同履行期间及本合同终止后两年内出版涉及本工程的有关监理与相关服务的资料的限制条件：</w:t>
      </w:r>
      <w:r>
        <w:rPr>
          <w:rFonts w:hint="eastAsia" w:ascii="宋体" w:hAnsi="宋体" w:eastAsia="宋体" w:cs="宋体"/>
          <w:sz w:val="24"/>
          <w:szCs w:val="24"/>
          <w:highlight w:val="none"/>
          <w:u w:val="single"/>
        </w:rPr>
        <w:t>监理人为履行本合同义务为工程项目编制的文件，著作权归委托人所有（通用条件与专用条件对此款约定不一致的，以专用条件为准），未经委托人书面同意，在合同履行期间以及合同履行终止后（永久）均不得擅自使用。否则，监理人需承担监理费用20%的违约金，该违约金不足以弥补委托人实际损失的，监理人需继续予以补足</w:t>
      </w:r>
      <w:r>
        <w:rPr>
          <w:rFonts w:hint="eastAsia" w:ascii="宋体" w:hAnsi="宋体" w:eastAsia="宋体" w:cs="宋体"/>
          <w:sz w:val="24"/>
          <w:szCs w:val="24"/>
          <w:highlight w:val="none"/>
        </w:rPr>
        <w:t>。</w:t>
      </w:r>
    </w:p>
    <w:p w14:paraId="1C382A28">
      <w:pPr>
        <w:adjustRightInd w:val="0"/>
        <w:snapToGrid w:val="0"/>
        <w:spacing w:line="440" w:lineRule="exact"/>
        <w:ind w:firstLine="480" w:firstLineChars="200"/>
        <w:rPr>
          <w:rFonts w:ascii="宋体" w:hAnsi="宋体" w:eastAsia="宋体" w:cs="宋体"/>
          <w:sz w:val="24"/>
          <w:szCs w:val="24"/>
          <w:highlight w:val="none"/>
        </w:rPr>
      </w:pPr>
      <w:bookmarkStart w:id="9" w:name="_Toc398107918"/>
      <w:r>
        <w:rPr>
          <w:rStyle w:val="32"/>
          <w:rFonts w:hint="eastAsia" w:ascii="宋体" w:hAnsi="宋体" w:eastAsia="宋体" w:cs="宋体"/>
          <w:szCs w:val="24"/>
          <w:highlight w:val="none"/>
        </w:rPr>
        <w:t>9. 补充条款</w:t>
      </w:r>
      <w:bookmarkEnd w:id="9"/>
      <w:r>
        <w:rPr>
          <w:rFonts w:hint="eastAsia" w:ascii="宋体" w:hAnsi="宋体" w:eastAsia="宋体" w:cs="宋体"/>
          <w:sz w:val="24"/>
          <w:szCs w:val="24"/>
          <w:highlight w:val="none"/>
        </w:rPr>
        <w:t>：</w:t>
      </w:r>
    </w:p>
    <w:p w14:paraId="31B5F49C">
      <w:pPr>
        <w:adjustRightInd w:val="0"/>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9.1 中标后，监理人拟投入参与本项目的项目监理机构人员必须全部到施工现场参与项目监理，并接受委托人的考勤。</w:t>
      </w:r>
    </w:p>
    <w:p w14:paraId="2C75C15E">
      <w:pPr>
        <w:adjustRightInd w:val="0"/>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拟投入本工程的主要现场项目成员专业配置应齐全，并且现场项目组成员均应为监理人本单位职工。在监理服务合同签署前委托人将对监理人拟投入本工程的主要现场项目成员进行调查核实，若发现现场项目成员中有不符合招标文件中约定及委托人要求的，委托人有权要求监理人予以更换直至合格为止。委托人对监理人拟投入本工程各阶段的监理组成员名单对监理人进行考核。所提供的各阶段的监理组成员在其对应的工程实施阶段必须全部在岗。如因特殊情况须经委托人书面同意。</w:t>
      </w:r>
    </w:p>
    <w:p w14:paraId="3C87EB92">
      <w:pPr>
        <w:adjustRightInd w:val="0"/>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9.2 其它</w:t>
      </w:r>
    </w:p>
    <w:p w14:paraId="45651143">
      <w:pPr>
        <w:adjustRightInd w:val="0"/>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9.2.1监理人须于施工现场配备至少2台电脑，专项负责造价控制的人员须自行配备预算软件（其费用由监理人自行负责），每月中旬前根据工程实际完成工程量，将预算造价与实际造价的出入情况上报委托人。在结算审核过程中，如相关审核单位需向监理人咨询相关情况时，监理人应及时配合，其费用已包含在合同价内，委托人不再另行支付。</w:t>
      </w:r>
    </w:p>
    <w:p w14:paraId="51540D48">
      <w:pPr>
        <w:adjustRightInd w:val="0"/>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9.2.2 委托的建设工程项目监理所必要的监理人员出外考察、订购材料设备监制，其费用已包含在合同价内，委托人不再另行支付。</w:t>
      </w:r>
    </w:p>
    <w:p w14:paraId="208E6A1C">
      <w:pPr>
        <w:adjustRightInd w:val="0"/>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9.2.3 隐蔽工程验收时，监理人必须会同委托人一起验收，并经监理人、委托人代表签字确认后，方可进行下道工序施工。</w:t>
      </w:r>
    </w:p>
    <w:p w14:paraId="12897DAE">
      <w:pPr>
        <w:adjustRightInd w:val="0"/>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9.2.4 监理人应对驻现场监理人员的人身和财产安全负全部责任，在监理服务期内为派驻到项目所在地的人员办理人身和自有财产的有关保险，并承担有关费用。保险时间应随服务时间的延长而顺延，并在出险后自行办理索赔。如监理人不办理上述保险，则应对有关风险及后果自负其责。</w:t>
      </w:r>
    </w:p>
    <w:p w14:paraId="3FA736F4">
      <w:pPr>
        <w:adjustRightInd w:val="0"/>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9.2.5 监理人须设立监察点，全程监察施工时对相邻建筑物的安全影响。</w:t>
      </w:r>
    </w:p>
    <w:p w14:paraId="0CF41811">
      <w:pPr>
        <w:adjustRightInd w:val="0"/>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9.2.6 监理人须协助委托人做好工程前期准备工作，包括总承包、各专业工程、设备材料招标、办理各项手续等工作。</w:t>
      </w:r>
    </w:p>
    <w:p w14:paraId="0B4C0D76">
      <w:pPr>
        <w:adjustRightInd w:val="0"/>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9.2.7监理人报送监理费审计的资料要求：监理招标文件、投标文件、中标通知书、合同、监理日志、验收资料等与监理有关的各种资料汇编成册，一式两份报建设单位（其中一份为原件）。</w:t>
      </w:r>
    </w:p>
    <w:p w14:paraId="7FAD0DB4">
      <w:pPr>
        <w:adjustRightInd w:val="0"/>
        <w:snapToGrid w:val="0"/>
        <w:spacing w:line="4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9.2.8上述条款与招标文件、合同条款、附件协议条款、现行有关法律法规、规范标准等文件互为补充，如有不一致之处统一按标准高的、要求更严格的条款执行，最终解释权归委托人所有。</w:t>
      </w:r>
    </w:p>
    <w:p w14:paraId="2CF3A82E">
      <w:pPr>
        <w:pStyle w:val="20"/>
        <w:jc w:val="both"/>
        <w:rPr>
          <w:rFonts w:hint="default" w:cs="宋体"/>
          <w:szCs w:val="24"/>
          <w:highlight w:val="none"/>
        </w:rPr>
      </w:pPr>
    </w:p>
    <w:p w14:paraId="1A87B4DF">
      <w:pPr>
        <w:rPr>
          <w:rFonts w:ascii="宋体" w:hAnsi="宋体" w:eastAsia="宋体" w:cs="宋体"/>
          <w:sz w:val="24"/>
          <w:szCs w:val="24"/>
          <w:highlight w:val="none"/>
        </w:rPr>
      </w:pPr>
      <w:r>
        <w:rPr>
          <w:rFonts w:hint="eastAsia" w:ascii="宋体" w:hAnsi="宋体" w:eastAsia="宋体" w:cs="宋体"/>
          <w:sz w:val="24"/>
          <w:szCs w:val="24"/>
          <w:highlight w:val="none"/>
        </w:rPr>
        <w:br w:type="page"/>
      </w:r>
    </w:p>
    <w:p w14:paraId="63327F6A">
      <w:pPr>
        <w:jc w:val="left"/>
        <w:rPr>
          <w:rFonts w:ascii="宋体" w:hAnsi="宋体" w:eastAsia="宋体" w:cs="宋体"/>
          <w:b/>
          <w:sz w:val="24"/>
          <w:szCs w:val="24"/>
          <w:highlight w:val="none"/>
        </w:rPr>
      </w:pPr>
      <w:bookmarkStart w:id="10" w:name="_Toc398107934"/>
      <w:r>
        <w:rPr>
          <w:rFonts w:hint="eastAsia" w:ascii="宋体" w:hAnsi="宋体" w:eastAsia="宋体" w:cs="宋体"/>
          <w:b/>
          <w:sz w:val="24"/>
          <w:szCs w:val="24"/>
          <w:highlight w:val="none"/>
        </w:rPr>
        <w:t>附件1：合同价格表</w:t>
      </w:r>
    </w:p>
    <w:p w14:paraId="234EEC63">
      <w:pPr>
        <w:spacing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监理项目价格清单总价</w:t>
      </w:r>
    </w:p>
    <w:tbl>
      <w:tblPr>
        <w:tblStyle w:val="1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6"/>
        <w:gridCol w:w="3560"/>
        <w:gridCol w:w="1968"/>
        <w:gridCol w:w="1914"/>
      </w:tblGrid>
      <w:tr w14:paraId="166590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06" w:type="dxa"/>
            <w:vAlign w:val="center"/>
          </w:tcPr>
          <w:p w14:paraId="25CF5481">
            <w:pPr>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项号</w:t>
            </w:r>
          </w:p>
        </w:tc>
        <w:tc>
          <w:tcPr>
            <w:tcW w:w="3560" w:type="dxa"/>
            <w:vAlign w:val="center"/>
          </w:tcPr>
          <w:p w14:paraId="1DE997BB">
            <w:pPr>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项目内容</w:t>
            </w:r>
          </w:p>
        </w:tc>
        <w:tc>
          <w:tcPr>
            <w:tcW w:w="1968" w:type="dxa"/>
            <w:vAlign w:val="center"/>
          </w:tcPr>
          <w:p w14:paraId="256EA39F">
            <w:pPr>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金额（万元）</w:t>
            </w:r>
          </w:p>
        </w:tc>
        <w:tc>
          <w:tcPr>
            <w:tcW w:w="1914" w:type="dxa"/>
            <w:vAlign w:val="center"/>
          </w:tcPr>
          <w:p w14:paraId="2087D791">
            <w:pPr>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备注</w:t>
            </w:r>
          </w:p>
        </w:tc>
      </w:tr>
      <w:tr w14:paraId="16BCE0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06" w:type="dxa"/>
            <w:vAlign w:val="center"/>
          </w:tcPr>
          <w:p w14:paraId="5156C2D0">
            <w:pPr>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3560" w:type="dxa"/>
            <w:vAlign w:val="center"/>
          </w:tcPr>
          <w:p w14:paraId="087C7F55">
            <w:pPr>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江苏盐昇光电新材料有限公司1.596MW/3.457MWh用户侧储能电站项目</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工程监理费</w:t>
            </w:r>
          </w:p>
        </w:tc>
        <w:tc>
          <w:tcPr>
            <w:tcW w:w="1968" w:type="dxa"/>
            <w:tcBorders>
              <w:top w:val="nil"/>
              <w:left w:val="nil"/>
              <w:bottom w:val="single" w:color="auto" w:sz="8" w:space="0"/>
              <w:right w:val="single" w:color="auto" w:sz="8" w:space="0"/>
            </w:tcBorders>
            <w:vAlign w:val="center"/>
          </w:tcPr>
          <w:p w14:paraId="2B2D8439">
            <w:pPr>
              <w:widowControl/>
              <w:jc w:val="center"/>
              <w:rPr>
                <w:rFonts w:ascii="宋体" w:hAnsi="宋体" w:eastAsia="宋体" w:cs="宋体"/>
                <w:kern w:val="0"/>
                <w:sz w:val="24"/>
                <w:szCs w:val="24"/>
                <w:highlight w:val="none"/>
              </w:rPr>
            </w:pPr>
          </w:p>
        </w:tc>
        <w:tc>
          <w:tcPr>
            <w:tcW w:w="1914" w:type="dxa"/>
            <w:vAlign w:val="center"/>
          </w:tcPr>
          <w:p w14:paraId="0C3635DC">
            <w:pPr>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包括：详细说明监理范围。</w:t>
            </w:r>
          </w:p>
        </w:tc>
      </w:tr>
      <w:tr w14:paraId="70ED69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366" w:type="dxa"/>
            <w:gridSpan w:val="2"/>
            <w:vAlign w:val="center"/>
          </w:tcPr>
          <w:p w14:paraId="66F9EB6B">
            <w:pPr>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合计</w:t>
            </w:r>
          </w:p>
        </w:tc>
        <w:tc>
          <w:tcPr>
            <w:tcW w:w="3882" w:type="dxa"/>
            <w:gridSpan w:val="2"/>
            <w:vAlign w:val="center"/>
          </w:tcPr>
          <w:p w14:paraId="1CC94875">
            <w:pPr>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万元</w:t>
            </w:r>
          </w:p>
        </w:tc>
      </w:tr>
    </w:tbl>
    <w:p w14:paraId="5EE7BCEE">
      <w:pPr>
        <w:spacing w:line="360" w:lineRule="auto"/>
        <w:ind w:right="420"/>
        <w:jc w:val="left"/>
        <w:rPr>
          <w:rFonts w:ascii="宋体" w:hAnsi="宋体" w:eastAsia="宋体" w:cs="宋体"/>
          <w:b/>
          <w:sz w:val="24"/>
          <w:szCs w:val="24"/>
          <w:highlight w:val="none"/>
        </w:rPr>
      </w:pPr>
    </w:p>
    <w:bookmarkEnd w:id="10"/>
    <w:p w14:paraId="7D7D03F4">
      <w:pPr>
        <w:pStyle w:val="33"/>
        <w:adjustRightInd/>
        <w:spacing w:before="0" w:after="0" w:line="360" w:lineRule="auto"/>
        <w:ind w:left="0" w:right="0"/>
        <w:jc w:val="center"/>
        <w:rPr>
          <w:rFonts w:hint="eastAsia" w:ascii="宋体" w:hAnsi="宋体" w:cs="宋体"/>
          <w:sz w:val="21"/>
          <w:szCs w:val="21"/>
          <w:highlight w:val="none"/>
        </w:rPr>
      </w:pPr>
      <w:r>
        <w:rPr>
          <w:rFonts w:hint="eastAsia" w:ascii="宋体" w:hAnsi="宋体" w:eastAsia="宋体" w:cs="宋体"/>
          <w:sz w:val="24"/>
          <w:szCs w:val="24"/>
          <w:highlight w:val="none"/>
        </w:rPr>
        <w:br w:type="page"/>
      </w:r>
      <w:r>
        <w:rPr>
          <w:rFonts w:hint="eastAsia" w:ascii="宋体" w:hAnsi="宋体" w:cs="宋体"/>
          <w:b/>
          <w:kern w:val="2"/>
          <w:sz w:val="32"/>
          <w:szCs w:val="32"/>
          <w:highlight w:val="none"/>
        </w:rPr>
        <w:t>廉政合同</w:t>
      </w:r>
    </w:p>
    <w:p w14:paraId="76318BD2">
      <w:pPr>
        <w:adjustRightInd w:val="0"/>
        <w:snapToGrid w:val="0"/>
        <w:spacing w:line="440" w:lineRule="exact"/>
        <w:ind w:firstLine="420" w:firstLineChars="200"/>
        <w:rPr>
          <w:rFonts w:hint="default" w:ascii="宋体" w:hAnsi="宋体" w:eastAsia="宋体" w:cs="宋体"/>
          <w:sz w:val="21"/>
          <w:szCs w:val="21"/>
          <w:highlight w:val="none"/>
          <w:u w:val="single"/>
          <w:lang w:val="en-US" w:eastAsia="zh-CN"/>
        </w:rPr>
      </w:pPr>
      <w:r>
        <w:rPr>
          <w:rFonts w:hint="eastAsia" w:ascii="宋体" w:hAnsi="宋体" w:eastAsia="宋体" w:cs="宋体"/>
          <w:sz w:val="21"/>
          <w:szCs w:val="21"/>
          <w:highlight w:val="none"/>
          <w:u w:val="single"/>
          <w:lang w:val="en-US" w:eastAsia="zh-CN"/>
        </w:rPr>
        <w:t>甲方：江苏盐城市清洁能源发展股份有限公司</w:t>
      </w:r>
    </w:p>
    <w:p w14:paraId="5679ACDD">
      <w:pPr>
        <w:adjustRightInd w:val="0"/>
        <w:snapToGrid w:val="0"/>
        <w:spacing w:line="440" w:lineRule="exact"/>
        <w:ind w:firstLine="420" w:firstLineChars="200"/>
        <w:rPr>
          <w:rFonts w:hint="default" w:ascii="宋体" w:hAnsi="宋体" w:eastAsia="宋体" w:cs="宋体"/>
          <w:sz w:val="21"/>
          <w:szCs w:val="21"/>
          <w:highlight w:val="none"/>
          <w:u w:val="single"/>
          <w:lang w:val="en-US"/>
        </w:rPr>
      </w:pPr>
      <w:r>
        <w:rPr>
          <w:rFonts w:hint="eastAsia" w:ascii="宋体" w:hAnsi="宋体" w:eastAsia="宋体" w:cs="宋体"/>
          <w:sz w:val="21"/>
          <w:szCs w:val="21"/>
          <w:highlight w:val="none"/>
          <w:u w:val="single"/>
          <w:lang w:val="en-US" w:eastAsia="zh-CN"/>
        </w:rPr>
        <w:t xml:space="preserve">乙方：                                  </w:t>
      </w:r>
    </w:p>
    <w:p w14:paraId="3CB71A99">
      <w:pPr>
        <w:adjustRightInd w:val="0"/>
        <w:snapToGrid w:val="0"/>
        <w:spacing w:line="440" w:lineRule="exact"/>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为强化抓源治本工作力度，从制度机制上进一步规范</w:t>
      </w:r>
      <w:r>
        <w:rPr>
          <w:rFonts w:hint="eastAsia" w:ascii="宋体" w:hAnsi="宋体" w:eastAsia="宋体" w:cs="宋体"/>
          <w:sz w:val="21"/>
          <w:szCs w:val="21"/>
          <w:highlight w:val="none"/>
          <w:u w:val="single"/>
          <w:lang w:val="zh-TW" w:eastAsia="zh-CN"/>
        </w:rPr>
        <w:t>江苏盐昇光电新材料有限公司1.596MW/3.457MWh用户侧储能电站项目</w:t>
      </w:r>
      <w:r>
        <w:rPr>
          <w:rFonts w:hint="eastAsia" w:ascii="宋体" w:hAnsi="宋体" w:eastAsia="宋体" w:cs="宋体"/>
          <w:sz w:val="21"/>
          <w:szCs w:val="21"/>
          <w:highlight w:val="none"/>
          <w:u w:val="single"/>
          <w:lang w:val="en-US" w:eastAsia="zh-CN"/>
        </w:rPr>
        <w:t>监理服务</w:t>
      </w:r>
      <w:r>
        <w:rPr>
          <w:rFonts w:hint="eastAsia" w:ascii="宋体" w:hAnsi="宋体" w:eastAsia="宋体" w:cs="宋体"/>
          <w:sz w:val="21"/>
          <w:szCs w:val="21"/>
          <w:highlight w:val="none"/>
          <w:u w:val="none"/>
        </w:rPr>
        <w:t>行为，杜绝不廉洁行为，特订立本合同，双方遵照执行。</w:t>
      </w:r>
    </w:p>
    <w:p w14:paraId="0760E708">
      <w:pPr>
        <w:adjustRightInd w:val="0"/>
        <w:snapToGrid w:val="0"/>
        <w:spacing w:line="440" w:lineRule="exact"/>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1、甲、乙双方必须严格遵守国家法律、法规政策及各项廉政规定，恪守职业道德规范。</w:t>
      </w:r>
    </w:p>
    <w:p w14:paraId="309A8A14">
      <w:pPr>
        <w:adjustRightInd w:val="0"/>
        <w:snapToGrid w:val="0"/>
        <w:spacing w:line="440" w:lineRule="exact"/>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2、甲、乙双方在具体工程建设行为中，必须严格遵守招投标法规定的原则、方式、程序，保证公平、公正、公开。</w:t>
      </w:r>
    </w:p>
    <w:p w14:paraId="7F58FD1F">
      <w:pPr>
        <w:adjustRightInd w:val="0"/>
        <w:snapToGrid w:val="0"/>
        <w:spacing w:line="440" w:lineRule="exact"/>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3、甲、乙双方不得相互串通，损害国家利益、社会公共利益及其他当事人的合法权益。</w:t>
      </w:r>
    </w:p>
    <w:p w14:paraId="17EE7279">
      <w:pPr>
        <w:adjustRightInd w:val="0"/>
        <w:snapToGrid w:val="0"/>
        <w:spacing w:line="440" w:lineRule="exact"/>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4、甲方工作人员及其配偶、子女不得以任何形式或名义索要、接受乙方的现金、有价证券、支付凭证和其他馈赠礼品；乙方不得以任何形式或名义向甲方工作人员及其配偶、子女、评标人员赠送现金、有价证券、支付凭证和礼品或采取其他不正当手段谋取利益。</w:t>
      </w:r>
    </w:p>
    <w:p w14:paraId="398B1B29">
      <w:pPr>
        <w:adjustRightInd w:val="0"/>
        <w:snapToGrid w:val="0"/>
        <w:spacing w:line="440" w:lineRule="exact"/>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5、甲方工作人员及其配偶、子女不得以任何形式或者名义接受乙方的宴请、请钓、旅游、健身和其他娱乐活动；乙方不得以任何形式或名义邀请甲方工作人员及其配偶、子女请吃、请钓、旅游、健身和其他娱乐活动。</w:t>
      </w:r>
    </w:p>
    <w:p w14:paraId="20DB8BD5">
      <w:pPr>
        <w:adjustRightInd w:val="0"/>
        <w:snapToGrid w:val="0"/>
        <w:spacing w:line="440" w:lineRule="exact"/>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6、甲方工作人员及其配偶、子女不得以打“业务牌”等形式变相接受乙方的钱物；乙方不得以打“业务牌”的形式向甲方工作人员及其配偶、子女变相送钱物。</w:t>
      </w:r>
    </w:p>
    <w:p w14:paraId="2E9603A2">
      <w:pPr>
        <w:adjustRightInd w:val="0"/>
        <w:snapToGrid w:val="0"/>
        <w:spacing w:line="440" w:lineRule="exact"/>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7、甲方工作人员及其配偶、子女不得在乙方报销应由个人支付的费用或领取报酬；乙方不得为甲方工作人员及其配偶、子女报销应由个人支付的费用或发放报酬。</w:t>
      </w:r>
    </w:p>
    <w:p w14:paraId="59BC1E32">
      <w:pPr>
        <w:adjustRightInd w:val="0"/>
        <w:snapToGrid w:val="0"/>
        <w:spacing w:line="440" w:lineRule="exact"/>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8、违约责任：</w:t>
      </w:r>
    </w:p>
    <w:p w14:paraId="58FBDEB2">
      <w:pPr>
        <w:adjustRightInd w:val="0"/>
        <w:snapToGrid w:val="0"/>
        <w:spacing w:line="440" w:lineRule="exact"/>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8.1甲方发生违约行为，一经查实将视情节轻重对直接责任人进行严肃处理并追究主管人员的责任。</w:t>
      </w:r>
    </w:p>
    <w:p w14:paraId="6D271E5C">
      <w:pPr>
        <w:adjustRightInd w:val="0"/>
        <w:snapToGrid w:val="0"/>
        <w:spacing w:line="440" w:lineRule="exact"/>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8.2乙方发生违约行为，甲方有权解除合同，并将其列入“黑名单”在一定范围内公布，三年内不得参加甲方的工程建设。</w:t>
      </w:r>
    </w:p>
    <w:p w14:paraId="37147AFB">
      <w:pPr>
        <w:adjustRightInd w:val="0"/>
        <w:snapToGrid w:val="0"/>
        <w:spacing w:line="440" w:lineRule="exact"/>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8.3甲、乙双方所签订的廉政合同的时效与</w:t>
      </w:r>
      <w:r>
        <w:rPr>
          <w:rFonts w:hint="eastAsia" w:ascii="宋体" w:hAnsi="宋体" w:eastAsia="宋体" w:cs="宋体"/>
          <w:sz w:val="21"/>
          <w:szCs w:val="21"/>
          <w:highlight w:val="none"/>
          <w:u w:val="none"/>
          <w:lang w:eastAsia="zh-CN"/>
        </w:rPr>
        <w:t>清能万帮盐城经开区150MW300MWh储能电站项目消防与智能化施工</w:t>
      </w:r>
      <w:r>
        <w:rPr>
          <w:rFonts w:hint="eastAsia" w:ascii="宋体" w:hAnsi="宋体" w:eastAsia="宋体" w:cs="宋体"/>
          <w:sz w:val="21"/>
          <w:szCs w:val="21"/>
          <w:highlight w:val="none"/>
          <w:u w:val="none"/>
        </w:rPr>
        <w:t>施工合同时效等同。</w:t>
      </w:r>
    </w:p>
    <w:p w14:paraId="4FA0AF7D">
      <w:pPr>
        <w:adjustRightInd w:val="0"/>
        <w:snapToGrid w:val="0"/>
        <w:spacing w:line="440" w:lineRule="exact"/>
        <w:ind w:firstLine="420" w:firstLineChars="200"/>
        <w:rPr>
          <w:rFonts w:hint="eastAsia" w:ascii="宋体" w:hAnsi="宋体" w:eastAsia="宋体" w:cs="宋体"/>
          <w:sz w:val="21"/>
          <w:szCs w:val="21"/>
          <w:highlight w:val="none"/>
          <w:u w:val="none"/>
        </w:rPr>
      </w:pPr>
    </w:p>
    <w:p w14:paraId="29A51C64">
      <w:pPr>
        <w:adjustRightInd w:val="0"/>
        <w:snapToGrid w:val="0"/>
        <w:spacing w:line="440" w:lineRule="exact"/>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甲方（盖章）：                           乙方（盖章）：</w:t>
      </w:r>
    </w:p>
    <w:p w14:paraId="324A1F59">
      <w:pPr>
        <w:adjustRightInd w:val="0"/>
        <w:snapToGrid w:val="0"/>
        <w:spacing w:line="440" w:lineRule="exact"/>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法定代表人或其                           法定代表人或其</w:t>
      </w:r>
    </w:p>
    <w:p w14:paraId="76FA1E92">
      <w:pPr>
        <w:adjustRightInd w:val="0"/>
        <w:snapToGrid w:val="0"/>
        <w:spacing w:line="440" w:lineRule="exact"/>
        <w:ind w:firstLine="420" w:firstLineChars="200"/>
        <w:rPr>
          <w:rFonts w:hint="default" w:ascii="宋体" w:hAnsi="宋体" w:eastAsia="宋体" w:cs="宋体"/>
          <w:sz w:val="21"/>
          <w:szCs w:val="21"/>
          <w:highlight w:val="none"/>
          <w:u w:val="none"/>
        </w:rPr>
      </w:pPr>
      <w:r>
        <w:rPr>
          <w:rFonts w:hint="eastAsia" w:ascii="宋体" w:hAnsi="宋体" w:eastAsia="宋体" w:cs="宋体"/>
          <w:sz w:val="21"/>
          <w:szCs w:val="21"/>
          <w:highlight w:val="none"/>
          <w:u w:val="none"/>
        </w:rPr>
        <w:t>授权委托人（签字或盖章）：               授权委托人（签字或盖章）：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IDFont+F2">
    <w:altName w:val="Times New Roman"/>
    <w:panose1 w:val="00000000000000000000"/>
    <w:charset w:val="00"/>
    <w:family w:val="roman"/>
    <w:pitch w:val="default"/>
    <w:sig w:usb0="00000000" w:usb1="00000000" w:usb2="00000000" w:usb3="00000000" w:csb0="00000000" w:csb1="00000000"/>
  </w:font>
  <w:font w:name="Wingdings 2;Wingdings">
    <w:altName w:val="Wingdings"/>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decimal"/>
      <w:suff w:val="nothing"/>
      <w:lvlText w:val="%1、"/>
      <w:lvlJc w:val="left"/>
      <w:pPr>
        <w:tabs>
          <w:tab w:val="left" w:pos="0"/>
        </w:tabs>
        <w:ind w:left="0" w:firstLine="0"/>
      </w:pPr>
      <w:rPr>
        <w:rFonts w:cs="宋体"/>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VjMTY0YWE2ZDlkZmI1ZTcwODAzZGIwMzEwZGNhYjEifQ=="/>
  </w:docVars>
  <w:rsids>
    <w:rsidRoot w:val="00427E8C"/>
    <w:rsid w:val="000038EB"/>
    <w:rsid w:val="00005B77"/>
    <w:rsid w:val="00005F28"/>
    <w:rsid w:val="00014C2A"/>
    <w:rsid w:val="00044E8A"/>
    <w:rsid w:val="00093115"/>
    <w:rsid w:val="000A310C"/>
    <w:rsid w:val="000A75BA"/>
    <w:rsid w:val="0010149E"/>
    <w:rsid w:val="00137772"/>
    <w:rsid w:val="00171E26"/>
    <w:rsid w:val="00175472"/>
    <w:rsid w:val="00190527"/>
    <w:rsid w:val="001A2CB7"/>
    <w:rsid w:val="001C042E"/>
    <w:rsid w:val="001C243F"/>
    <w:rsid w:val="001C312D"/>
    <w:rsid w:val="0020098A"/>
    <w:rsid w:val="0020236D"/>
    <w:rsid w:val="00210EDB"/>
    <w:rsid w:val="0021578F"/>
    <w:rsid w:val="00215D61"/>
    <w:rsid w:val="00225447"/>
    <w:rsid w:val="00241154"/>
    <w:rsid w:val="00241381"/>
    <w:rsid w:val="00243BA4"/>
    <w:rsid w:val="00281FE3"/>
    <w:rsid w:val="00285A70"/>
    <w:rsid w:val="00285D64"/>
    <w:rsid w:val="002E429E"/>
    <w:rsid w:val="00303B99"/>
    <w:rsid w:val="00314756"/>
    <w:rsid w:val="00351CAC"/>
    <w:rsid w:val="00351FEF"/>
    <w:rsid w:val="00353DDB"/>
    <w:rsid w:val="00381963"/>
    <w:rsid w:val="00386195"/>
    <w:rsid w:val="00387FFB"/>
    <w:rsid w:val="003A4449"/>
    <w:rsid w:val="003B4262"/>
    <w:rsid w:val="003D0E10"/>
    <w:rsid w:val="003F3B54"/>
    <w:rsid w:val="00402FFD"/>
    <w:rsid w:val="00415D3D"/>
    <w:rsid w:val="00427E8C"/>
    <w:rsid w:val="00451D7A"/>
    <w:rsid w:val="00485839"/>
    <w:rsid w:val="004C0745"/>
    <w:rsid w:val="004C4EB1"/>
    <w:rsid w:val="0051784E"/>
    <w:rsid w:val="00522F6C"/>
    <w:rsid w:val="006153A3"/>
    <w:rsid w:val="00615FEE"/>
    <w:rsid w:val="00617CF0"/>
    <w:rsid w:val="00641BE9"/>
    <w:rsid w:val="00641E2A"/>
    <w:rsid w:val="00657172"/>
    <w:rsid w:val="00682E33"/>
    <w:rsid w:val="006A0C8C"/>
    <w:rsid w:val="006A10FD"/>
    <w:rsid w:val="006A5D11"/>
    <w:rsid w:val="006B0E7D"/>
    <w:rsid w:val="006C6CED"/>
    <w:rsid w:val="0071466A"/>
    <w:rsid w:val="007219AA"/>
    <w:rsid w:val="00723F27"/>
    <w:rsid w:val="007352D7"/>
    <w:rsid w:val="00755B94"/>
    <w:rsid w:val="007930DD"/>
    <w:rsid w:val="007A70DF"/>
    <w:rsid w:val="007D26A4"/>
    <w:rsid w:val="007E439F"/>
    <w:rsid w:val="007F3298"/>
    <w:rsid w:val="00803EE3"/>
    <w:rsid w:val="00877B40"/>
    <w:rsid w:val="0088143A"/>
    <w:rsid w:val="00881E67"/>
    <w:rsid w:val="00885F18"/>
    <w:rsid w:val="008C55F9"/>
    <w:rsid w:val="008D716F"/>
    <w:rsid w:val="008E1A63"/>
    <w:rsid w:val="00900500"/>
    <w:rsid w:val="00917767"/>
    <w:rsid w:val="00927367"/>
    <w:rsid w:val="00931BDB"/>
    <w:rsid w:val="00933E31"/>
    <w:rsid w:val="00964119"/>
    <w:rsid w:val="00964EF3"/>
    <w:rsid w:val="009721E8"/>
    <w:rsid w:val="00976349"/>
    <w:rsid w:val="009C3161"/>
    <w:rsid w:val="009F0A10"/>
    <w:rsid w:val="009F3CF0"/>
    <w:rsid w:val="00A1189F"/>
    <w:rsid w:val="00A140F8"/>
    <w:rsid w:val="00A20EA8"/>
    <w:rsid w:val="00A42487"/>
    <w:rsid w:val="00A73F85"/>
    <w:rsid w:val="00A76648"/>
    <w:rsid w:val="00A81D6B"/>
    <w:rsid w:val="00AB16E8"/>
    <w:rsid w:val="00AB2711"/>
    <w:rsid w:val="00AC4835"/>
    <w:rsid w:val="00AC753D"/>
    <w:rsid w:val="00B04AE5"/>
    <w:rsid w:val="00B138BA"/>
    <w:rsid w:val="00B336ED"/>
    <w:rsid w:val="00B41003"/>
    <w:rsid w:val="00B97EEE"/>
    <w:rsid w:val="00C6503B"/>
    <w:rsid w:val="00CC50B3"/>
    <w:rsid w:val="00CD65FA"/>
    <w:rsid w:val="00CE26CB"/>
    <w:rsid w:val="00CE2F22"/>
    <w:rsid w:val="00CE6D8C"/>
    <w:rsid w:val="00D471FB"/>
    <w:rsid w:val="00D5064A"/>
    <w:rsid w:val="00D75944"/>
    <w:rsid w:val="00D76386"/>
    <w:rsid w:val="00DB4F41"/>
    <w:rsid w:val="00DE28A8"/>
    <w:rsid w:val="00E04394"/>
    <w:rsid w:val="00E30BE2"/>
    <w:rsid w:val="00E805DC"/>
    <w:rsid w:val="00E879C4"/>
    <w:rsid w:val="00EA6BBB"/>
    <w:rsid w:val="00EC204E"/>
    <w:rsid w:val="00EC318E"/>
    <w:rsid w:val="00EF3E1D"/>
    <w:rsid w:val="00F24608"/>
    <w:rsid w:val="00FA31F9"/>
    <w:rsid w:val="00FB64B5"/>
    <w:rsid w:val="011A24F4"/>
    <w:rsid w:val="01E118B0"/>
    <w:rsid w:val="05831602"/>
    <w:rsid w:val="062A6FB7"/>
    <w:rsid w:val="06FD291B"/>
    <w:rsid w:val="071D4AEC"/>
    <w:rsid w:val="074438CD"/>
    <w:rsid w:val="07CE2BC3"/>
    <w:rsid w:val="07FF23DC"/>
    <w:rsid w:val="0A6F4340"/>
    <w:rsid w:val="0B195170"/>
    <w:rsid w:val="0DA665D0"/>
    <w:rsid w:val="0F5E7E3E"/>
    <w:rsid w:val="111E1B8C"/>
    <w:rsid w:val="126E460A"/>
    <w:rsid w:val="13BC1734"/>
    <w:rsid w:val="161D2412"/>
    <w:rsid w:val="188629E4"/>
    <w:rsid w:val="19DB038C"/>
    <w:rsid w:val="1A6920CA"/>
    <w:rsid w:val="1C874A89"/>
    <w:rsid w:val="1C8B37EB"/>
    <w:rsid w:val="1DE101C9"/>
    <w:rsid w:val="1FA52381"/>
    <w:rsid w:val="20AC4ABE"/>
    <w:rsid w:val="22E744D4"/>
    <w:rsid w:val="22F97D63"/>
    <w:rsid w:val="258C4EBE"/>
    <w:rsid w:val="25B302C0"/>
    <w:rsid w:val="2635037A"/>
    <w:rsid w:val="29451A9A"/>
    <w:rsid w:val="29F351A4"/>
    <w:rsid w:val="2C5A1872"/>
    <w:rsid w:val="2D0F6B83"/>
    <w:rsid w:val="2E690C00"/>
    <w:rsid w:val="307B44AD"/>
    <w:rsid w:val="373C0842"/>
    <w:rsid w:val="3A520308"/>
    <w:rsid w:val="3AC32CD9"/>
    <w:rsid w:val="3AF570B5"/>
    <w:rsid w:val="3CF44222"/>
    <w:rsid w:val="3D4F6AA6"/>
    <w:rsid w:val="3D94095C"/>
    <w:rsid w:val="3E3A46EC"/>
    <w:rsid w:val="40870EE5"/>
    <w:rsid w:val="45444B57"/>
    <w:rsid w:val="45C75D73"/>
    <w:rsid w:val="46276120"/>
    <w:rsid w:val="468A5331"/>
    <w:rsid w:val="4BA31446"/>
    <w:rsid w:val="4CAF7C4A"/>
    <w:rsid w:val="4FCE7CFE"/>
    <w:rsid w:val="523C4674"/>
    <w:rsid w:val="52B21B59"/>
    <w:rsid w:val="547F146C"/>
    <w:rsid w:val="554D57DE"/>
    <w:rsid w:val="55713605"/>
    <w:rsid w:val="565C2ED8"/>
    <w:rsid w:val="58695944"/>
    <w:rsid w:val="596F145A"/>
    <w:rsid w:val="5A24647E"/>
    <w:rsid w:val="5A513A05"/>
    <w:rsid w:val="5A9606EA"/>
    <w:rsid w:val="5CC26747"/>
    <w:rsid w:val="60341DFF"/>
    <w:rsid w:val="60EE6452"/>
    <w:rsid w:val="646F3406"/>
    <w:rsid w:val="64AE394D"/>
    <w:rsid w:val="6E22598D"/>
    <w:rsid w:val="70AC794A"/>
    <w:rsid w:val="71811EAF"/>
    <w:rsid w:val="71D92806"/>
    <w:rsid w:val="76A74C8A"/>
    <w:rsid w:val="7808209B"/>
    <w:rsid w:val="78727511"/>
    <w:rsid w:val="7C0F6613"/>
    <w:rsid w:val="7D221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120" w:after="120" w:line="416" w:lineRule="auto"/>
      <w:outlineLvl w:val="1"/>
    </w:pPr>
    <w:rPr>
      <w:rFonts w:ascii="Arial" w:hAnsi="Arial" w:eastAsia="黑体"/>
      <w:bCs/>
      <w:sz w:val="32"/>
      <w:szCs w:val="32"/>
    </w:rPr>
  </w:style>
  <w:style w:type="paragraph" w:styleId="4">
    <w:name w:val="heading 3"/>
    <w:basedOn w:val="1"/>
    <w:next w:val="1"/>
    <w:link w:val="32"/>
    <w:autoRedefine/>
    <w:qFormat/>
    <w:uiPriority w:val="0"/>
    <w:pPr>
      <w:keepNext/>
      <w:keepLines/>
      <w:spacing w:before="20" w:after="20" w:line="416" w:lineRule="auto"/>
      <w:outlineLvl w:val="2"/>
    </w:pPr>
    <w:rPr>
      <w:rFonts w:eastAsia="黑体"/>
      <w:bCs/>
      <w:kern w:val="0"/>
      <w:sz w:val="24"/>
      <w:szCs w:val="32"/>
    </w:rPr>
  </w:style>
  <w:style w:type="paragraph" w:styleId="5">
    <w:name w:val="heading 4"/>
    <w:basedOn w:val="1"/>
    <w:next w:val="1"/>
    <w:autoRedefine/>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6">
    <w:name w:val="Body Text"/>
    <w:basedOn w:val="1"/>
    <w:link w:val="25"/>
    <w:semiHidden/>
    <w:unhideWhenUsed/>
    <w:qFormat/>
    <w:uiPriority w:val="99"/>
    <w:pPr>
      <w:spacing w:after="120"/>
    </w:pPr>
  </w:style>
  <w:style w:type="paragraph" w:styleId="7">
    <w:name w:val="Body Text Indent"/>
    <w:basedOn w:val="1"/>
    <w:link w:val="29"/>
    <w:autoRedefine/>
    <w:qFormat/>
    <w:uiPriority w:val="0"/>
    <w:pPr>
      <w:spacing w:after="120"/>
      <w:ind w:left="420" w:leftChars="200"/>
    </w:pPr>
    <w:rPr>
      <w:rFonts w:ascii="Times New Roman" w:hAnsi="Times New Roman" w:eastAsia="宋体" w:cs="Times New Roman"/>
      <w:szCs w:val="24"/>
    </w:rPr>
  </w:style>
  <w:style w:type="paragraph" w:styleId="8">
    <w:name w:val="Body Text Indent 2"/>
    <w:basedOn w:val="1"/>
    <w:autoRedefine/>
    <w:qFormat/>
    <w:uiPriority w:val="0"/>
    <w:pPr>
      <w:spacing w:after="120" w:line="480" w:lineRule="auto"/>
      <w:ind w:left="420" w:leftChars="200"/>
    </w:p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rPr>
      <w:rFonts w:eastAsia="仿宋_GB2312"/>
      <w:b/>
      <w:bCs/>
      <w:sz w:val="24"/>
    </w:rPr>
  </w:style>
  <w:style w:type="paragraph" w:styleId="12">
    <w:name w:val="Normal (Web)"/>
    <w:basedOn w:val="1"/>
    <w:autoRedefine/>
    <w:unhideWhenUsed/>
    <w:qFormat/>
    <w:uiPriority w:val="0"/>
    <w:pPr>
      <w:spacing w:beforeAutospacing="1" w:afterAutospacing="1"/>
      <w:jc w:val="left"/>
    </w:pPr>
    <w:rPr>
      <w:rFonts w:cs="Times New Roman"/>
      <w:kern w:val="0"/>
      <w:sz w:val="24"/>
    </w:rPr>
  </w:style>
  <w:style w:type="paragraph" w:styleId="13">
    <w:name w:val="Body Text First Indent"/>
    <w:basedOn w:val="1"/>
    <w:link w:val="26"/>
    <w:autoRedefine/>
    <w:qFormat/>
    <w:uiPriority w:val="0"/>
    <w:pPr>
      <w:spacing w:line="312" w:lineRule="auto"/>
      <w:ind w:firstLine="420"/>
    </w:pPr>
    <w:rPr>
      <w:rFonts w:ascii="Times New Roman" w:hAnsi="Times New Roman" w:eastAsia="宋体" w:cs="Times New Roman"/>
      <w:szCs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22"/>
    <w:rPr>
      <w:b/>
      <w:bCs/>
    </w:rPr>
  </w:style>
  <w:style w:type="character" w:styleId="18">
    <w:name w:val="page number"/>
    <w:autoRedefine/>
    <w:qFormat/>
    <w:uiPriority w:val="0"/>
  </w:style>
  <w:style w:type="character" w:styleId="19">
    <w:name w:val="Hyperlink"/>
    <w:basedOn w:val="16"/>
    <w:autoRedefine/>
    <w:unhideWhenUsed/>
    <w:qFormat/>
    <w:uiPriority w:val="99"/>
    <w:rPr>
      <w:color w:val="0000FF"/>
      <w:u w:val="single"/>
    </w:rPr>
  </w:style>
  <w:style w:type="paragraph" w:customStyle="1" w:styleId="20">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21">
    <w:name w:val="页眉 字符"/>
    <w:basedOn w:val="16"/>
    <w:link w:val="10"/>
    <w:autoRedefine/>
    <w:qFormat/>
    <w:uiPriority w:val="99"/>
    <w:rPr>
      <w:sz w:val="18"/>
      <w:szCs w:val="18"/>
    </w:rPr>
  </w:style>
  <w:style w:type="character" w:customStyle="1" w:styleId="22">
    <w:name w:val="页脚 字符"/>
    <w:basedOn w:val="16"/>
    <w:link w:val="9"/>
    <w:autoRedefine/>
    <w:qFormat/>
    <w:uiPriority w:val="99"/>
    <w:rPr>
      <w:sz w:val="18"/>
      <w:szCs w:val="18"/>
    </w:rPr>
  </w:style>
  <w:style w:type="character" w:customStyle="1" w:styleId="23">
    <w:name w:val="fontstyle01"/>
    <w:basedOn w:val="16"/>
    <w:autoRedefine/>
    <w:qFormat/>
    <w:uiPriority w:val="0"/>
    <w:rPr>
      <w:rFonts w:hint="default" w:ascii="CIDFont+F2" w:hAnsi="CIDFont+F2"/>
      <w:color w:val="000000"/>
      <w:sz w:val="16"/>
      <w:szCs w:val="16"/>
    </w:rPr>
  </w:style>
  <w:style w:type="paragraph" w:customStyle="1" w:styleId="24">
    <w:name w:val="p0"/>
    <w:basedOn w:val="1"/>
    <w:autoRedefine/>
    <w:qFormat/>
    <w:uiPriority w:val="0"/>
    <w:pPr>
      <w:widowControl/>
      <w:spacing w:before="100" w:beforeAutospacing="1" w:after="100" w:afterAutospacing="1"/>
      <w:jc w:val="left"/>
    </w:pPr>
    <w:rPr>
      <w:rFonts w:hint="eastAsia" w:ascii="宋体" w:hAnsi="宋体" w:eastAsia="宋体" w:cs="Times New Roman"/>
      <w:sz w:val="24"/>
      <w:szCs w:val="20"/>
    </w:rPr>
  </w:style>
  <w:style w:type="character" w:customStyle="1" w:styleId="25">
    <w:name w:val="正文文本 字符"/>
    <w:basedOn w:val="16"/>
    <w:link w:val="6"/>
    <w:autoRedefine/>
    <w:semiHidden/>
    <w:qFormat/>
    <w:uiPriority w:val="99"/>
    <w:rPr>
      <w:rFonts w:asciiTheme="minorHAnsi" w:hAnsiTheme="minorHAnsi" w:eastAsiaTheme="minorEastAsia" w:cstheme="minorBidi"/>
      <w:kern w:val="2"/>
      <w:sz w:val="21"/>
      <w:szCs w:val="22"/>
    </w:rPr>
  </w:style>
  <w:style w:type="character" w:customStyle="1" w:styleId="26">
    <w:name w:val="正文文本首行缩进 字符"/>
    <w:basedOn w:val="25"/>
    <w:link w:val="13"/>
    <w:autoRedefine/>
    <w:qFormat/>
    <w:uiPriority w:val="0"/>
    <w:rPr>
      <w:rFonts w:asciiTheme="minorHAnsi" w:hAnsiTheme="minorHAnsi" w:eastAsiaTheme="minorEastAsia" w:cstheme="minorBidi"/>
      <w:kern w:val="2"/>
      <w:sz w:val="21"/>
      <w:szCs w:val="24"/>
    </w:rPr>
  </w:style>
  <w:style w:type="paragraph" w:customStyle="1" w:styleId="27">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customStyle="1" w:styleId="2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正文文本缩进 字符"/>
    <w:basedOn w:val="16"/>
    <w:link w:val="7"/>
    <w:autoRedefine/>
    <w:qFormat/>
    <w:uiPriority w:val="0"/>
    <w:rPr>
      <w:kern w:val="2"/>
      <w:sz w:val="21"/>
      <w:szCs w:val="24"/>
    </w:rPr>
  </w:style>
  <w:style w:type="paragraph" w:customStyle="1" w:styleId="30">
    <w:name w:val="正文首行缩进1"/>
    <w:basedOn w:val="28"/>
    <w:autoRedefine/>
    <w:qFormat/>
    <w:uiPriority w:val="0"/>
    <w:pPr>
      <w:spacing w:line="312" w:lineRule="auto"/>
    </w:pPr>
  </w:style>
  <w:style w:type="character" w:customStyle="1" w:styleId="31">
    <w:name w:val="未处理的提及1"/>
    <w:basedOn w:val="16"/>
    <w:autoRedefine/>
    <w:semiHidden/>
    <w:unhideWhenUsed/>
    <w:qFormat/>
    <w:uiPriority w:val="99"/>
    <w:rPr>
      <w:color w:val="605E5C"/>
      <w:shd w:val="clear" w:color="auto" w:fill="E1DFDD"/>
    </w:rPr>
  </w:style>
  <w:style w:type="character" w:customStyle="1" w:styleId="32">
    <w:name w:val="标题 3 字符"/>
    <w:link w:val="4"/>
    <w:autoRedefine/>
    <w:qFormat/>
    <w:uiPriority w:val="0"/>
    <w:rPr>
      <w:rFonts w:eastAsia="黑体"/>
      <w:bCs/>
      <w:kern w:val="0"/>
      <w:sz w:val="24"/>
      <w:szCs w:val="32"/>
    </w:rPr>
  </w:style>
  <w:style w:type="paragraph" w:customStyle="1" w:styleId="33">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3063</Words>
  <Characters>17460</Characters>
  <Lines>145</Lines>
  <Paragraphs>40</Paragraphs>
  <TotalTime>2</TotalTime>
  <ScaleCrop>false</ScaleCrop>
  <LinksUpToDate>false</LinksUpToDate>
  <CharactersWithSpaces>20483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2020-07-27T02:30:00Z</dcterms:created>
  <dc:creator>LENOVO</dc:creator>
  <cp:lastModifiedBy>梁跃</cp:lastModifiedBy>
  <dcterms:modified xsi:type="dcterms:W3CDTF">2026-04-24T03:07:06Z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3C07533567CF454D9EE1805D9250D6D2</vt:lpwstr>
  </property>
</Properties>
</file>